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74662601"/>
    <w:bookmarkStart w:id="1" w:name="_GoBack"/>
    <w:p w14:paraId="1EF53C06" w14:textId="2C872893" w:rsidR="00375117" w:rsidRDefault="00375117" w:rsidP="008A3947">
      <w:pPr>
        <w:spacing w:after="0" w:line="240" w:lineRule="auto"/>
        <w:jc w:val="both"/>
        <w:rPr>
          <w:rFonts w:ascii="Times New Roman" w:eastAsia="Calibri" w:hAnsi="Times New Roman" w:cs="Times New Roman"/>
          <w:iCs/>
          <w:sz w:val="24"/>
          <w:szCs w:val="24"/>
          <w:lang w:eastAsia="hr-HR"/>
        </w:rPr>
      </w:pPr>
      <w:r>
        <w:rPr>
          <w:noProof/>
          <w:lang w:eastAsia="hr-HR"/>
        </w:rPr>
        <mc:AlternateContent>
          <mc:Choice Requires="wps">
            <w:drawing>
              <wp:anchor distT="0" distB="0" distL="114300" distR="114300" simplePos="0" relativeHeight="251661312" behindDoc="0" locked="0" layoutInCell="1" allowOverlap="1" wp14:anchorId="2963C239" wp14:editId="0EB715C1">
                <wp:simplePos x="0" y="0"/>
                <wp:positionH relativeFrom="page">
                  <wp:posOffset>95250</wp:posOffset>
                </wp:positionH>
                <wp:positionV relativeFrom="paragraph">
                  <wp:posOffset>-866775</wp:posOffset>
                </wp:positionV>
                <wp:extent cx="2362200" cy="10591800"/>
                <wp:effectExtent l="0" t="0" r="19050" b="19050"/>
                <wp:wrapNone/>
                <wp:docPr id="6" name="Pravokut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10591800"/>
                        </a:xfrm>
                        <a:prstGeom prst="rect">
                          <a:avLst/>
                        </a:prstGeom>
                        <a:pattFill prst="solidDmnd">
                          <a:fgClr>
                            <a:schemeClr val="accent5">
                              <a:lumMod val="20000"/>
                              <a:lumOff val="80000"/>
                            </a:schemeClr>
                          </a:fgClr>
                          <a:bgClr>
                            <a:schemeClr val="bg1"/>
                          </a:bgClr>
                        </a:pattFill>
                        <a:ln w="12700">
                          <a:solidFill>
                            <a:srgbClr val="FFFFFF"/>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5DF95E" id="Pravokutnik 6" o:spid="_x0000_s1026" style="position:absolute;margin-left:7.5pt;margin-top:-68.25pt;width:186pt;height:83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" fillcolor="#d9e2f3 [664]" strokecolor="white" strokeweight="1pt">
                <v:fill r:id="rId8" o:title="" color2="white [3212]" type="pattern"/>
                <w10:wrap anchorx="page"/>
              </v:rect>
            </w:pict>
          </mc:Fallback>
        </mc:AlternateContent>
      </w:r>
      <w:bookmarkEnd w:id="1"/>
    </w:p>
    <w:p w14:paraId="4E7556AD" w14:textId="5A2CF4ED" w:rsidR="004665E0" w:rsidRDefault="00375117" w:rsidP="00375117">
      <w:pPr>
        <w:rPr>
          <w:rFonts w:ascii="Times New Roman" w:eastAsia="Calibri" w:hAnsi="Times New Roman" w:cs="Times New Roman"/>
          <w:iCs/>
          <w:sz w:val="24"/>
          <w:szCs w:val="24"/>
          <w:lang w:eastAsia="hr-HR"/>
        </w:rPr>
      </w:pPr>
      <w:r>
        <w:rPr>
          <w:rFonts w:ascii="Times New Roman" w:eastAsia="Calibri" w:hAnsi="Times New Roman" w:cs="Times New Roman"/>
          <w:iCs/>
          <w:sz w:val="24"/>
          <w:szCs w:val="24"/>
          <w:lang w:eastAsia="hr-HR"/>
        </w:rPr>
        <w:br w:type="page"/>
      </w:r>
      <w:r>
        <w:rPr>
          <w:noProof/>
          <w:lang w:eastAsia="hr-HR"/>
        </w:rPr>
        <mc:AlternateContent>
          <mc:Choice Requires="wps">
            <w:drawing>
              <wp:anchor distT="0" distB="0" distL="114300" distR="114300" simplePos="0" relativeHeight="251659264" behindDoc="0" locked="0" layoutInCell="1" allowOverlap="1" wp14:anchorId="5408F1D4" wp14:editId="76322E53">
                <wp:simplePos x="0" y="0"/>
                <wp:positionH relativeFrom="column">
                  <wp:posOffset>1591945</wp:posOffset>
                </wp:positionH>
                <wp:positionV relativeFrom="paragraph">
                  <wp:posOffset>-1203325</wp:posOffset>
                </wp:positionV>
                <wp:extent cx="5486400" cy="10954385"/>
                <wp:effectExtent l="0" t="0" r="19050" b="18415"/>
                <wp:wrapNone/>
                <wp:docPr id="2"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0954385"/>
                        </a:xfrm>
                        <a:prstGeom prst="rect">
                          <a:avLst/>
                        </a:prstGeom>
                        <a:gradFill>
                          <a:gsLst>
                            <a:gs pos="0">
                              <a:schemeClr val="accent1">
                                <a:lumMod val="5000"/>
                                <a:lumOff val="95000"/>
                              </a:schemeClr>
                            </a:gs>
                            <a:gs pos="61000">
                              <a:schemeClr val="accent1">
                                <a:lumMod val="45000"/>
                                <a:lumOff val="55000"/>
                              </a:schemeClr>
                            </a:gs>
                            <a:gs pos="85000">
                              <a:schemeClr val="accent1">
                                <a:lumMod val="45000"/>
                                <a:lumOff val="55000"/>
                              </a:schemeClr>
                            </a:gs>
                            <a:gs pos="100000">
                              <a:schemeClr val="accent1">
                                <a:lumMod val="30000"/>
                                <a:lumOff val="70000"/>
                              </a:schemeClr>
                            </a:gs>
                          </a:gsLst>
                          <a:lin ang="5400000" scaled="1"/>
                        </a:gradFill>
                        <a:ln w="12700">
                          <a:solidFill>
                            <a:srgbClr val="FFFFFF"/>
                          </a:solidFill>
                          <a:miter lim="800000"/>
                          <a:headEnd/>
                          <a:tailEnd/>
                        </a:ln>
                        <a:effectLst/>
                      </wps:spPr>
                      <wps:txbx>
                        <w:txbxContent>
                          <w:p w14:paraId="6459B295" w14:textId="77777777" w:rsidR="002118EE" w:rsidRDefault="002118EE" w:rsidP="00375117">
                            <w:pPr>
                              <w:pStyle w:val="Bezproreda4"/>
                              <w:jc w:val="center"/>
                              <w:rPr>
                                <w:rFonts w:ascii="Bookman Old Style" w:hAnsi="Bookman Old Style" w:cs="Bookman Old Style"/>
                                <w:b/>
                                <w:bCs/>
                                <w:i/>
                                <w:iCs/>
                                <w:sz w:val="32"/>
                                <w:szCs w:val="32"/>
                                <w:lang w:val="de-DE"/>
                              </w:rPr>
                            </w:pPr>
                            <w:r w:rsidRPr="002D6A78">
                              <w:rPr>
                                <w:noProof/>
                                <w:lang w:val="hr-HR" w:eastAsia="hr-HR"/>
                              </w:rPr>
                              <w:drawing>
                                <wp:inline distT="0" distB="0" distL="0" distR="0" wp14:anchorId="53C1B7E4" wp14:editId="211E388E">
                                  <wp:extent cx="952500" cy="124777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247775"/>
                                          </a:xfrm>
                                          <a:prstGeom prst="rect">
                                            <a:avLst/>
                                          </a:prstGeom>
                                          <a:noFill/>
                                          <a:ln>
                                            <a:noFill/>
                                          </a:ln>
                                        </pic:spPr>
                                      </pic:pic>
                                    </a:graphicData>
                                  </a:graphic>
                                </wp:inline>
                              </w:drawing>
                            </w:r>
                          </w:p>
                          <w:p w14:paraId="6024E049" w14:textId="77777777" w:rsidR="002118EE" w:rsidRPr="003172EB" w:rsidRDefault="002118EE" w:rsidP="00375117">
                            <w:pPr>
                              <w:pStyle w:val="Bezproreda4"/>
                              <w:jc w:val="center"/>
                              <w:rPr>
                                <w:rFonts w:ascii="Bookman Old Style" w:hAnsi="Bookman Old Style" w:cs="Bookman Old Style"/>
                                <w:b/>
                                <w:bCs/>
                                <w:iCs/>
                                <w:sz w:val="32"/>
                                <w:szCs w:val="32"/>
                                <w:lang w:val="de-DE"/>
                              </w:rPr>
                            </w:pPr>
                          </w:p>
                          <w:p w14:paraId="01BD286A" w14:textId="77777777" w:rsidR="002118EE" w:rsidRPr="003172EB" w:rsidRDefault="002118EE" w:rsidP="00375117">
                            <w:pPr>
                              <w:pStyle w:val="Bezproreda4"/>
                              <w:jc w:val="center"/>
                              <w:rPr>
                                <w:rFonts w:ascii="Bookman Old Style" w:hAnsi="Bookman Old Style" w:cs="Bookman Old Style"/>
                                <w:b/>
                                <w:bCs/>
                                <w:iCs/>
                                <w:sz w:val="32"/>
                                <w:szCs w:val="32"/>
                                <w:lang w:val="de-DE"/>
                              </w:rPr>
                            </w:pPr>
                          </w:p>
                          <w:p w14:paraId="50C42075" w14:textId="77777777" w:rsidR="002118EE" w:rsidRPr="003172EB" w:rsidRDefault="002118EE" w:rsidP="00375117">
                            <w:pPr>
                              <w:pStyle w:val="Bezproreda4"/>
                              <w:jc w:val="center"/>
                              <w:rPr>
                                <w:rFonts w:ascii="Bookman Old Style" w:hAnsi="Bookman Old Style" w:cs="Bookman Old Style"/>
                                <w:b/>
                                <w:bCs/>
                                <w:iCs/>
                                <w:sz w:val="32"/>
                                <w:szCs w:val="32"/>
                                <w:lang w:val="de-DE"/>
                              </w:rPr>
                            </w:pPr>
                          </w:p>
                          <w:p w14:paraId="0F1DF9F5" w14:textId="77777777" w:rsidR="002118EE" w:rsidRPr="003172EB" w:rsidRDefault="002118EE" w:rsidP="00375117">
                            <w:pPr>
                              <w:pStyle w:val="Bezproreda4"/>
                              <w:jc w:val="center"/>
                              <w:rPr>
                                <w:rFonts w:ascii="Bookman Old Style" w:hAnsi="Bookman Old Style" w:cs="Bookman Old Style"/>
                                <w:b/>
                                <w:bCs/>
                                <w:iCs/>
                                <w:color w:val="333399"/>
                                <w:sz w:val="32"/>
                                <w:szCs w:val="32"/>
                                <w:lang w:val="de-DE"/>
                              </w:rPr>
                            </w:pPr>
                          </w:p>
                          <w:p w14:paraId="0C0AE122" w14:textId="77777777" w:rsidR="002118EE" w:rsidRPr="00BE0E36" w:rsidRDefault="002118EE" w:rsidP="00375117">
                            <w:pPr>
                              <w:jc w:val="center"/>
                              <w:rPr>
                                <w:rFonts w:ascii="Times New Roman" w:hAnsi="Times New Roman"/>
                                <w:bCs/>
                                <w:color w:val="000080"/>
                                <w:sz w:val="32"/>
                                <w:lang w:val="pl-PL"/>
                              </w:rPr>
                            </w:pPr>
                            <w:bookmarkStart w:id="2" w:name="OLE_LINK4"/>
                            <w:r w:rsidRPr="00BE0E36">
                              <w:rPr>
                                <w:rFonts w:ascii="Times New Roman" w:hAnsi="Times New Roman"/>
                                <w:bCs/>
                                <w:color w:val="000080"/>
                                <w:sz w:val="32"/>
                                <w:lang w:val="pl-PL"/>
                              </w:rPr>
                              <w:t>REPUBLIKA HRVATSKA</w:t>
                            </w:r>
                          </w:p>
                          <w:p w14:paraId="186B8083" w14:textId="77777777" w:rsidR="002118EE" w:rsidRPr="00BE0E36" w:rsidRDefault="002118EE" w:rsidP="00375117">
                            <w:pPr>
                              <w:jc w:val="center"/>
                              <w:rPr>
                                <w:rFonts w:ascii="Times New Roman" w:hAnsi="Times New Roman"/>
                                <w:bCs/>
                                <w:color w:val="000080"/>
                                <w:sz w:val="32"/>
                                <w:lang w:val="pl-PL"/>
                              </w:rPr>
                            </w:pPr>
                            <w:r w:rsidRPr="00BE0E36">
                              <w:rPr>
                                <w:rFonts w:ascii="Times New Roman" w:hAnsi="Times New Roman"/>
                                <w:bCs/>
                                <w:color w:val="000080"/>
                                <w:sz w:val="32"/>
                                <w:lang w:val="pl-PL"/>
                              </w:rPr>
                              <w:t>MINISTARSTVO FINANCIJA</w:t>
                            </w:r>
                          </w:p>
                          <w:p w14:paraId="6F2DED0A" w14:textId="77777777" w:rsidR="002118EE" w:rsidRDefault="002118EE" w:rsidP="00375117">
                            <w:pPr>
                              <w:jc w:val="center"/>
                              <w:rPr>
                                <w:rFonts w:ascii="Arial" w:hAnsi="Arial" w:cs="Arial"/>
                                <w:bCs/>
                                <w:color w:val="000080"/>
                                <w:sz w:val="32"/>
                                <w:lang w:val="pl-PL"/>
                              </w:rPr>
                            </w:pPr>
                          </w:p>
                          <w:p w14:paraId="4FEB9576" w14:textId="77777777" w:rsidR="002118EE" w:rsidRDefault="002118EE" w:rsidP="00375117">
                            <w:pPr>
                              <w:jc w:val="center"/>
                              <w:rPr>
                                <w:rFonts w:ascii="Arial" w:hAnsi="Arial" w:cs="Arial"/>
                                <w:bCs/>
                                <w:color w:val="000080"/>
                                <w:sz w:val="32"/>
                                <w:lang w:val="pl-PL"/>
                              </w:rPr>
                            </w:pPr>
                          </w:p>
                          <w:p w14:paraId="1BD1C163" w14:textId="77777777" w:rsidR="002118EE" w:rsidRPr="003172EB" w:rsidRDefault="002118EE" w:rsidP="00375117">
                            <w:pPr>
                              <w:jc w:val="center"/>
                              <w:rPr>
                                <w:rFonts w:ascii="Arial" w:hAnsi="Arial" w:cs="Arial"/>
                                <w:bCs/>
                                <w:color w:val="000080"/>
                                <w:sz w:val="32"/>
                                <w:lang w:val="pl-PL"/>
                              </w:rPr>
                            </w:pPr>
                          </w:p>
                          <w:p w14:paraId="58F4AD8F" w14:textId="77777777" w:rsidR="002118EE" w:rsidRPr="00BE0E36" w:rsidRDefault="002118EE" w:rsidP="00375117">
                            <w:pPr>
                              <w:jc w:val="center"/>
                              <w:rPr>
                                <w:rFonts w:ascii="Times New Roman" w:hAnsi="Times New Roman"/>
                                <w:bCs/>
                                <w:iCs/>
                                <w:color w:val="000080"/>
                                <w:sz w:val="32"/>
                                <w:szCs w:val="32"/>
                                <w:lang w:val="pl-PL"/>
                              </w:rPr>
                            </w:pPr>
                            <w:r w:rsidRPr="00BE0E36">
                              <w:rPr>
                                <w:rFonts w:ascii="Times New Roman" w:hAnsi="Times New Roman"/>
                                <w:bCs/>
                                <w:iCs/>
                                <w:color w:val="000080"/>
                                <w:sz w:val="32"/>
                                <w:szCs w:val="32"/>
                                <w:lang w:val="pl-PL"/>
                              </w:rPr>
                              <w:t>URED ZA SPRJEČAVANJE</w:t>
                            </w:r>
                          </w:p>
                          <w:p w14:paraId="3DB32270" w14:textId="77777777" w:rsidR="002118EE" w:rsidRPr="00BE0E36" w:rsidRDefault="002118EE" w:rsidP="00375117">
                            <w:pPr>
                              <w:jc w:val="center"/>
                              <w:rPr>
                                <w:rFonts w:ascii="Times New Roman" w:hAnsi="Times New Roman"/>
                                <w:bCs/>
                                <w:color w:val="000080"/>
                                <w:sz w:val="32"/>
                                <w:szCs w:val="32"/>
                                <w:lang w:val="pl-PL"/>
                              </w:rPr>
                            </w:pPr>
                            <w:r w:rsidRPr="00BE0E36">
                              <w:rPr>
                                <w:rFonts w:ascii="Times New Roman" w:hAnsi="Times New Roman"/>
                                <w:bCs/>
                                <w:color w:val="000080"/>
                                <w:sz w:val="32"/>
                                <w:szCs w:val="32"/>
                                <w:lang w:val="pl-PL"/>
                              </w:rPr>
                              <w:t>PRANJA NOVCA</w:t>
                            </w:r>
                            <w:bookmarkEnd w:id="2"/>
                          </w:p>
                          <w:p w14:paraId="1C3CF436" w14:textId="77777777" w:rsidR="002118EE" w:rsidRPr="00BE0E36" w:rsidRDefault="002118EE" w:rsidP="00375117">
                            <w:pPr>
                              <w:rPr>
                                <w:rFonts w:ascii="Times New Roman" w:hAnsi="Times New Roman"/>
                                <w:bCs/>
                                <w:color w:val="000080"/>
                                <w:sz w:val="32"/>
                                <w:szCs w:val="32"/>
                              </w:rPr>
                            </w:pPr>
                          </w:p>
                          <w:p w14:paraId="69718711" w14:textId="77777777" w:rsidR="002118EE" w:rsidRPr="00211099" w:rsidRDefault="002118EE" w:rsidP="00375117">
                            <w:pPr>
                              <w:jc w:val="center"/>
                              <w:rPr>
                                <w:rFonts w:ascii="Times New Roman" w:hAnsi="Times New Roman"/>
                                <w:bCs/>
                                <w:color w:val="000080"/>
                                <w:sz w:val="32"/>
                                <w:szCs w:val="32"/>
                              </w:rPr>
                            </w:pPr>
                            <w:r w:rsidRPr="00BE0E36">
                              <w:rPr>
                                <w:rFonts w:ascii="Times New Roman" w:hAnsi="Times New Roman"/>
                                <w:bCs/>
                                <w:color w:val="000080"/>
                                <w:sz w:val="32"/>
                                <w:szCs w:val="32"/>
                                <w:lang w:val="pl-PL"/>
                              </w:rPr>
                              <w:t>FINANCIJSKO</w:t>
                            </w:r>
                            <w:r w:rsidRPr="00BE0E36">
                              <w:rPr>
                                <w:rFonts w:ascii="Times New Roman" w:hAnsi="Times New Roman"/>
                                <w:bCs/>
                                <w:color w:val="000080"/>
                                <w:sz w:val="32"/>
                                <w:szCs w:val="32"/>
                              </w:rPr>
                              <w:t xml:space="preserve"> – </w:t>
                            </w:r>
                            <w:r w:rsidRPr="00BE0E36">
                              <w:rPr>
                                <w:rFonts w:ascii="Times New Roman" w:hAnsi="Times New Roman"/>
                                <w:bCs/>
                                <w:color w:val="000080"/>
                                <w:sz w:val="32"/>
                                <w:szCs w:val="32"/>
                                <w:lang w:val="pl-PL"/>
                              </w:rPr>
                              <w:t>OBAVJE</w:t>
                            </w:r>
                            <w:r w:rsidRPr="00BE0E36">
                              <w:rPr>
                                <w:rFonts w:ascii="Times New Roman" w:hAnsi="Times New Roman"/>
                                <w:bCs/>
                                <w:color w:val="000080"/>
                                <w:sz w:val="32"/>
                                <w:szCs w:val="32"/>
                              </w:rPr>
                              <w:t>Š</w:t>
                            </w:r>
                            <w:r w:rsidRPr="00BE0E36">
                              <w:rPr>
                                <w:rFonts w:ascii="Times New Roman" w:hAnsi="Times New Roman"/>
                                <w:bCs/>
                                <w:color w:val="000080"/>
                                <w:sz w:val="32"/>
                                <w:szCs w:val="32"/>
                                <w:lang w:val="pl-PL"/>
                              </w:rPr>
                              <w:t>TAJNA</w:t>
                            </w:r>
                            <w:r w:rsidRPr="00BE0E36">
                              <w:rPr>
                                <w:rFonts w:ascii="Times New Roman" w:hAnsi="Times New Roman"/>
                                <w:bCs/>
                                <w:color w:val="000080"/>
                                <w:sz w:val="32"/>
                                <w:szCs w:val="32"/>
                              </w:rPr>
                              <w:t xml:space="preserve"> </w:t>
                            </w:r>
                            <w:r w:rsidRPr="00BE0E36">
                              <w:rPr>
                                <w:rFonts w:ascii="Times New Roman" w:hAnsi="Times New Roman"/>
                                <w:bCs/>
                                <w:color w:val="000080"/>
                                <w:sz w:val="32"/>
                                <w:szCs w:val="32"/>
                                <w:lang w:val="pl-PL"/>
                              </w:rPr>
                              <w:t>JEDINICA</w:t>
                            </w:r>
                          </w:p>
                          <w:p w14:paraId="43579402" w14:textId="77777777" w:rsidR="002118EE" w:rsidRPr="003172EB" w:rsidRDefault="002118EE" w:rsidP="00375117">
                            <w:pPr>
                              <w:jc w:val="center"/>
                              <w:rPr>
                                <w:rFonts w:ascii="Arial" w:hAnsi="Arial" w:cs="Arial"/>
                                <w:bCs/>
                                <w:color w:val="000080"/>
                                <w:sz w:val="32"/>
                                <w:szCs w:val="32"/>
                              </w:rPr>
                            </w:pPr>
                          </w:p>
                          <w:p w14:paraId="11D5DBBC" w14:textId="77777777" w:rsidR="002118EE" w:rsidRPr="00BE0E36" w:rsidRDefault="002118EE" w:rsidP="00375117">
                            <w:pPr>
                              <w:pStyle w:val="Bezproreda4"/>
                              <w:jc w:val="center"/>
                              <w:rPr>
                                <w:rFonts w:ascii="Times New Roman" w:hAnsi="Times New Roman" w:cs="Times New Roman"/>
                                <w:b/>
                                <w:color w:val="000080"/>
                                <w:sz w:val="40"/>
                                <w:szCs w:val="32"/>
                                <w:lang w:val="hr-HR"/>
                              </w:rPr>
                            </w:pPr>
                            <w:r w:rsidRPr="00BE0E36">
                              <w:rPr>
                                <w:rFonts w:ascii="Times New Roman" w:hAnsi="Times New Roman" w:cs="Times New Roman"/>
                                <w:b/>
                                <w:color w:val="000080"/>
                                <w:sz w:val="40"/>
                                <w:szCs w:val="32"/>
                                <w:lang w:val="pl-PL"/>
                              </w:rPr>
                              <w:t>GODI</w:t>
                            </w:r>
                            <w:r w:rsidRPr="00BE0E36">
                              <w:rPr>
                                <w:rFonts w:ascii="Times New Roman" w:hAnsi="Times New Roman" w:cs="Times New Roman"/>
                                <w:b/>
                                <w:color w:val="000080"/>
                                <w:sz w:val="40"/>
                                <w:szCs w:val="32"/>
                                <w:lang w:val="hr-HR"/>
                              </w:rPr>
                              <w:t>Š</w:t>
                            </w:r>
                            <w:r w:rsidRPr="00BE0E36">
                              <w:rPr>
                                <w:rFonts w:ascii="Times New Roman" w:hAnsi="Times New Roman" w:cs="Times New Roman"/>
                                <w:b/>
                                <w:color w:val="000080"/>
                                <w:sz w:val="40"/>
                                <w:szCs w:val="32"/>
                                <w:lang w:val="pl-PL"/>
                              </w:rPr>
                              <w:t>NJE</w:t>
                            </w:r>
                            <w:r w:rsidRPr="00BE0E36">
                              <w:rPr>
                                <w:rFonts w:ascii="Times New Roman" w:hAnsi="Times New Roman" w:cs="Times New Roman"/>
                                <w:b/>
                                <w:color w:val="000080"/>
                                <w:sz w:val="40"/>
                                <w:szCs w:val="32"/>
                                <w:lang w:val="hr-HR"/>
                              </w:rPr>
                              <w:t xml:space="preserve">  </w:t>
                            </w:r>
                          </w:p>
                          <w:p w14:paraId="545B67F4" w14:textId="77777777" w:rsidR="002118EE" w:rsidRPr="00BE0E36" w:rsidRDefault="002118EE" w:rsidP="00375117">
                            <w:pPr>
                              <w:pStyle w:val="Bezproreda4"/>
                              <w:jc w:val="center"/>
                              <w:rPr>
                                <w:rFonts w:ascii="Times New Roman" w:hAnsi="Times New Roman" w:cs="Times New Roman"/>
                                <w:b/>
                                <w:color w:val="000080"/>
                                <w:sz w:val="40"/>
                                <w:szCs w:val="32"/>
                                <w:lang w:val="hr-HR"/>
                              </w:rPr>
                            </w:pPr>
                            <w:r w:rsidRPr="00BE0E36">
                              <w:rPr>
                                <w:rFonts w:ascii="Times New Roman" w:hAnsi="Times New Roman" w:cs="Times New Roman"/>
                                <w:b/>
                                <w:color w:val="000080"/>
                                <w:sz w:val="40"/>
                                <w:szCs w:val="32"/>
                                <w:lang w:val="pl-PL"/>
                              </w:rPr>
                              <w:t>IZVJE</w:t>
                            </w:r>
                            <w:r w:rsidRPr="00BE0E36">
                              <w:rPr>
                                <w:rFonts w:ascii="Times New Roman" w:hAnsi="Times New Roman" w:cs="Times New Roman"/>
                                <w:b/>
                                <w:color w:val="000080"/>
                                <w:sz w:val="40"/>
                                <w:szCs w:val="32"/>
                                <w:lang w:val="hr-HR"/>
                              </w:rPr>
                              <w:t xml:space="preserve">ŠĆE </w:t>
                            </w:r>
                            <w:r w:rsidRPr="00BE0E36">
                              <w:rPr>
                                <w:rFonts w:ascii="Times New Roman" w:hAnsi="Times New Roman" w:cs="Times New Roman"/>
                                <w:b/>
                                <w:color w:val="000080"/>
                                <w:sz w:val="40"/>
                                <w:szCs w:val="32"/>
                                <w:lang w:val="pl-PL"/>
                              </w:rPr>
                              <w:t>O</w:t>
                            </w:r>
                            <w:r w:rsidRPr="00BE0E36">
                              <w:rPr>
                                <w:rFonts w:ascii="Times New Roman" w:hAnsi="Times New Roman" w:cs="Times New Roman"/>
                                <w:b/>
                                <w:color w:val="000080"/>
                                <w:sz w:val="40"/>
                                <w:szCs w:val="32"/>
                                <w:lang w:val="hr-HR"/>
                              </w:rPr>
                              <w:t xml:space="preserve"> </w:t>
                            </w:r>
                            <w:r w:rsidRPr="00BE0E36">
                              <w:rPr>
                                <w:rFonts w:ascii="Times New Roman" w:hAnsi="Times New Roman" w:cs="Times New Roman"/>
                                <w:b/>
                                <w:color w:val="000080"/>
                                <w:sz w:val="40"/>
                                <w:szCs w:val="32"/>
                                <w:lang w:val="pl-PL"/>
                              </w:rPr>
                              <w:t>RADU</w:t>
                            </w:r>
                            <w:r w:rsidRPr="00BE0E36">
                              <w:rPr>
                                <w:rFonts w:ascii="Times New Roman" w:hAnsi="Times New Roman" w:cs="Times New Roman"/>
                                <w:b/>
                                <w:color w:val="000080"/>
                                <w:sz w:val="40"/>
                                <w:szCs w:val="32"/>
                                <w:lang w:val="hr-HR"/>
                              </w:rPr>
                              <w:t xml:space="preserve"> </w:t>
                            </w:r>
                            <w:r w:rsidRPr="00BE0E36">
                              <w:rPr>
                                <w:rFonts w:ascii="Times New Roman" w:hAnsi="Times New Roman" w:cs="Times New Roman"/>
                                <w:b/>
                                <w:color w:val="000080"/>
                                <w:sz w:val="40"/>
                                <w:szCs w:val="32"/>
                                <w:lang w:val="pl-PL"/>
                              </w:rPr>
                              <w:t>UREDA</w:t>
                            </w:r>
                            <w:r w:rsidRPr="00BE0E36">
                              <w:rPr>
                                <w:rFonts w:ascii="Times New Roman" w:hAnsi="Times New Roman" w:cs="Times New Roman"/>
                                <w:b/>
                                <w:color w:val="000080"/>
                                <w:sz w:val="40"/>
                                <w:szCs w:val="32"/>
                                <w:lang w:val="hr-HR"/>
                              </w:rPr>
                              <w:t xml:space="preserve"> </w:t>
                            </w:r>
                          </w:p>
                          <w:p w14:paraId="51AFDF5F" w14:textId="2BD3A28B" w:rsidR="002118EE" w:rsidRPr="00BE0E36" w:rsidRDefault="002118EE" w:rsidP="00375117">
                            <w:pPr>
                              <w:pStyle w:val="Bezproreda4"/>
                              <w:jc w:val="center"/>
                              <w:rPr>
                                <w:rFonts w:ascii="Times New Roman" w:hAnsi="Times New Roman" w:cs="Times New Roman"/>
                                <w:b/>
                                <w:color w:val="000080"/>
                                <w:sz w:val="40"/>
                                <w:szCs w:val="32"/>
                                <w:lang w:val="pl-PL"/>
                              </w:rPr>
                            </w:pPr>
                            <w:r w:rsidRPr="00BE0E36">
                              <w:rPr>
                                <w:rFonts w:ascii="Times New Roman" w:hAnsi="Times New Roman" w:cs="Times New Roman"/>
                                <w:b/>
                                <w:color w:val="000080"/>
                                <w:sz w:val="40"/>
                                <w:szCs w:val="32"/>
                                <w:lang w:val="pl-PL"/>
                              </w:rPr>
                              <w:t>ZA 20</w:t>
                            </w:r>
                            <w:r>
                              <w:rPr>
                                <w:rFonts w:ascii="Times New Roman" w:hAnsi="Times New Roman" w:cs="Times New Roman"/>
                                <w:b/>
                                <w:color w:val="000080"/>
                                <w:sz w:val="40"/>
                                <w:szCs w:val="32"/>
                                <w:lang w:val="pl-PL"/>
                              </w:rPr>
                              <w:t>22</w:t>
                            </w:r>
                            <w:r w:rsidRPr="00BE0E36">
                              <w:rPr>
                                <w:rFonts w:ascii="Times New Roman" w:hAnsi="Times New Roman" w:cs="Times New Roman"/>
                                <w:b/>
                                <w:color w:val="000080"/>
                                <w:sz w:val="40"/>
                                <w:szCs w:val="32"/>
                                <w:lang w:val="pl-PL"/>
                              </w:rPr>
                              <w:t>. GODINU</w:t>
                            </w:r>
                          </w:p>
                          <w:p w14:paraId="63191048" w14:textId="77777777" w:rsidR="002118EE" w:rsidRPr="003172EB" w:rsidRDefault="002118EE" w:rsidP="00375117">
                            <w:pPr>
                              <w:pStyle w:val="Bezproreda4"/>
                              <w:jc w:val="center"/>
                              <w:rPr>
                                <w:rFonts w:ascii="Arial" w:hAnsi="Arial" w:cs="Arial"/>
                                <w:b/>
                                <w:color w:val="2655CA"/>
                                <w:lang w:val="hr-HR"/>
                              </w:rPr>
                            </w:pPr>
                          </w:p>
                          <w:p w14:paraId="53929304" w14:textId="77777777" w:rsidR="002118EE" w:rsidRPr="003172EB" w:rsidRDefault="002118EE" w:rsidP="00375117">
                            <w:pPr>
                              <w:pStyle w:val="Bezproreda4"/>
                              <w:jc w:val="center"/>
                              <w:rPr>
                                <w:rFonts w:ascii="Arial" w:hAnsi="Arial" w:cs="Arial"/>
                                <w:b/>
                                <w:color w:val="2655CA"/>
                                <w:lang w:val="hr-HR"/>
                              </w:rPr>
                            </w:pPr>
                          </w:p>
                          <w:p w14:paraId="391ED9C5" w14:textId="77777777" w:rsidR="002118EE" w:rsidRPr="003172EB" w:rsidRDefault="002118EE" w:rsidP="00375117">
                            <w:pPr>
                              <w:pStyle w:val="Bezproreda4"/>
                              <w:jc w:val="center"/>
                              <w:rPr>
                                <w:rFonts w:ascii="Arial" w:hAnsi="Arial" w:cs="Arial"/>
                                <w:b/>
                                <w:color w:val="2655CA"/>
                                <w:lang w:val="hr-HR"/>
                              </w:rPr>
                            </w:pPr>
                          </w:p>
                          <w:p w14:paraId="6F9521D2" w14:textId="77777777" w:rsidR="002118EE" w:rsidRPr="005D4A1F" w:rsidRDefault="002118EE" w:rsidP="00375117">
                            <w:pPr>
                              <w:pStyle w:val="Bezproreda4"/>
                              <w:jc w:val="center"/>
                              <w:rPr>
                                <w:rFonts w:ascii="Arial" w:hAnsi="Arial" w:cs="Arial"/>
                                <w:b/>
                                <w:color w:val="2655CA"/>
                                <w:sz w:val="24"/>
                                <w:szCs w:val="24"/>
                                <w:highlight w:val="yellow"/>
                                <w:lang w:val="hr-HR"/>
                              </w:rPr>
                            </w:pPr>
                          </w:p>
                          <w:p w14:paraId="473F6B87" w14:textId="77777777" w:rsidR="002118EE" w:rsidRPr="003172EB" w:rsidRDefault="002118EE" w:rsidP="00375117">
                            <w:pPr>
                              <w:pStyle w:val="Bezproreda4"/>
                              <w:jc w:val="center"/>
                              <w:rPr>
                                <w:rFonts w:ascii="Arial" w:hAnsi="Arial" w:cs="Arial"/>
                                <w:b/>
                                <w:color w:val="2655CA"/>
                                <w:highlight w:val="yellow"/>
                                <w:lang w:val="hr-HR"/>
                              </w:rPr>
                            </w:pPr>
                          </w:p>
                          <w:p w14:paraId="670CE5CB" w14:textId="77777777" w:rsidR="002118EE" w:rsidRPr="003172EB" w:rsidRDefault="002118EE" w:rsidP="00375117">
                            <w:pPr>
                              <w:pStyle w:val="Bezproreda4"/>
                              <w:jc w:val="center"/>
                              <w:rPr>
                                <w:rFonts w:ascii="Arial" w:hAnsi="Arial" w:cs="Arial"/>
                                <w:b/>
                                <w:color w:val="2655CA"/>
                                <w:highlight w:val="yellow"/>
                                <w:lang w:val="hr-HR"/>
                              </w:rPr>
                            </w:pPr>
                          </w:p>
                          <w:p w14:paraId="74D88F15" w14:textId="77777777" w:rsidR="002118EE" w:rsidRPr="003172EB" w:rsidRDefault="002118EE" w:rsidP="00375117">
                            <w:pPr>
                              <w:pStyle w:val="Bezproreda4"/>
                              <w:jc w:val="center"/>
                              <w:rPr>
                                <w:rFonts w:ascii="Arial" w:hAnsi="Arial" w:cs="Arial"/>
                                <w:b/>
                                <w:color w:val="2655CA"/>
                                <w:highlight w:val="yellow"/>
                                <w:lang w:val="hr-HR"/>
                              </w:rPr>
                            </w:pPr>
                          </w:p>
                          <w:p w14:paraId="32F61FE0" w14:textId="77777777" w:rsidR="002118EE" w:rsidRPr="003172EB" w:rsidRDefault="002118EE" w:rsidP="00375117">
                            <w:pPr>
                              <w:pStyle w:val="Bezproreda4"/>
                              <w:jc w:val="center"/>
                              <w:rPr>
                                <w:rFonts w:ascii="Arial" w:hAnsi="Arial" w:cs="Arial"/>
                                <w:b/>
                                <w:color w:val="2655CA"/>
                                <w:highlight w:val="yellow"/>
                                <w:lang w:val="hr-HR"/>
                              </w:rPr>
                            </w:pPr>
                          </w:p>
                          <w:p w14:paraId="2731A8F9" w14:textId="77777777" w:rsidR="002118EE" w:rsidRPr="003172EB" w:rsidRDefault="002118EE" w:rsidP="00375117">
                            <w:pPr>
                              <w:pStyle w:val="Bezproreda4"/>
                              <w:jc w:val="center"/>
                              <w:rPr>
                                <w:rFonts w:ascii="Arial" w:hAnsi="Arial" w:cs="Arial"/>
                                <w:b/>
                                <w:color w:val="2655CA"/>
                                <w:highlight w:val="yellow"/>
                                <w:lang w:val="hr-HR"/>
                              </w:rPr>
                            </w:pPr>
                          </w:p>
                          <w:p w14:paraId="372C0EB5" w14:textId="77777777" w:rsidR="002118EE" w:rsidRPr="003172EB" w:rsidRDefault="002118EE" w:rsidP="00375117">
                            <w:pPr>
                              <w:pStyle w:val="Bezproreda4"/>
                              <w:jc w:val="center"/>
                              <w:rPr>
                                <w:rFonts w:ascii="Arial" w:hAnsi="Arial" w:cs="Arial"/>
                                <w:b/>
                                <w:color w:val="2655CA"/>
                                <w:highlight w:val="yellow"/>
                                <w:lang w:val="hr-HR"/>
                              </w:rPr>
                            </w:pPr>
                          </w:p>
                          <w:p w14:paraId="303CFCB6" w14:textId="77777777" w:rsidR="002118EE" w:rsidRPr="003172EB" w:rsidRDefault="002118EE" w:rsidP="00375117">
                            <w:pPr>
                              <w:pStyle w:val="Bezproreda4"/>
                              <w:jc w:val="center"/>
                              <w:rPr>
                                <w:rFonts w:ascii="Arial" w:hAnsi="Arial" w:cs="Arial"/>
                                <w:b/>
                                <w:color w:val="2655CA"/>
                                <w:highlight w:val="yellow"/>
                                <w:lang w:val="hr-HR"/>
                              </w:rPr>
                            </w:pPr>
                          </w:p>
                          <w:p w14:paraId="2EB7AC7B" w14:textId="77777777" w:rsidR="002118EE" w:rsidRPr="009641B8" w:rsidRDefault="002118EE" w:rsidP="00375117">
                            <w:pPr>
                              <w:jc w:val="center"/>
                              <w:rPr>
                                <w:rFonts w:ascii="Times New Roman" w:hAnsi="Times New Roman" w:cs="Times New Roman"/>
                                <w:bCs/>
                                <w:color w:val="000080"/>
                                <w:sz w:val="28"/>
                              </w:rPr>
                            </w:pPr>
                            <w:r w:rsidRPr="009641B8">
                              <w:rPr>
                                <w:rFonts w:ascii="Times New Roman" w:hAnsi="Times New Roman" w:cs="Times New Roman"/>
                                <w:bCs/>
                                <w:color w:val="000080"/>
                                <w:sz w:val="28"/>
                              </w:rPr>
                              <w:t>Zagreb, prosinac 2023.</w:t>
                            </w:r>
                          </w:p>
                          <w:p w14:paraId="5760C6C5" w14:textId="77777777" w:rsidR="002118EE" w:rsidRPr="003172EB" w:rsidRDefault="002118EE" w:rsidP="00375117">
                            <w:pPr>
                              <w:pStyle w:val="Bezproreda4"/>
                              <w:jc w:val="center"/>
                              <w:rPr>
                                <w:rFonts w:ascii="Arial" w:hAnsi="Arial" w:cs="Arial"/>
                                <w:b/>
                                <w:color w:val="2655CA"/>
                                <w:lang w:val="hr-HR"/>
                              </w:rPr>
                            </w:pPr>
                          </w:p>
                          <w:p w14:paraId="36B65679" w14:textId="77777777" w:rsidR="002118EE" w:rsidRDefault="002118EE" w:rsidP="00375117">
                            <w:pPr>
                              <w:pStyle w:val="Bezproreda4"/>
                              <w:jc w:val="center"/>
                              <w:rPr>
                                <w:color w:val="2655CA"/>
                                <w:lang w:val="hr-HR"/>
                              </w:rPr>
                            </w:pPr>
                          </w:p>
                          <w:p w14:paraId="0C2030CF" w14:textId="77777777" w:rsidR="002118EE" w:rsidRPr="00BF4BDC" w:rsidRDefault="002118EE" w:rsidP="00375117">
                            <w:pPr>
                              <w:pStyle w:val="Bezproreda4"/>
                              <w:jc w:val="center"/>
                              <w:rPr>
                                <w:rFonts w:ascii="Bookman Old Style" w:hAnsi="Bookman Old Style" w:cs="Bookman Old Style"/>
                                <w:b/>
                                <w:bCs/>
                                <w:iCs/>
                                <w:sz w:val="32"/>
                                <w:szCs w:val="32"/>
                                <w:lang w:val="hr-HR"/>
                              </w:rPr>
                            </w:pPr>
                          </w:p>
                          <w:p w14:paraId="49FD284D" w14:textId="77777777" w:rsidR="002118EE" w:rsidRPr="009C1CEE" w:rsidRDefault="002118EE" w:rsidP="00375117">
                            <w:pPr>
                              <w:pStyle w:val="Bezproreda4"/>
                              <w:jc w:val="center"/>
                              <w:rPr>
                                <w:rFonts w:ascii="Bookman Old Style" w:hAnsi="Bookman Old Style" w:cs="Bookman Old Style"/>
                                <w:b/>
                                <w:bCs/>
                                <w:i/>
                                <w:iCs/>
                                <w:sz w:val="32"/>
                                <w:szCs w:val="32"/>
                                <w:lang w:val="hr-HR"/>
                              </w:rPr>
                            </w:pPr>
                          </w:p>
                          <w:p w14:paraId="0FFFE72B" w14:textId="77777777" w:rsidR="002118EE" w:rsidRPr="009C1CEE" w:rsidRDefault="002118EE" w:rsidP="00375117">
                            <w:pPr>
                              <w:pStyle w:val="Bezproreda4"/>
                              <w:jc w:val="center"/>
                              <w:rPr>
                                <w:rFonts w:ascii="Bookman Old Style" w:hAnsi="Bookman Old Style" w:cs="Bookman Old Style"/>
                                <w:b/>
                                <w:bCs/>
                                <w:i/>
                                <w:iCs/>
                                <w:sz w:val="32"/>
                                <w:szCs w:val="32"/>
                                <w:lang w:val="hr-HR"/>
                              </w:rPr>
                            </w:pPr>
                          </w:p>
                          <w:p w14:paraId="67542440" w14:textId="77777777" w:rsidR="002118EE" w:rsidRPr="009C1CEE" w:rsidRDefault="002118EE" w:rsidP="00375117"/>
                          <w:p w14:paraId="21FF9DF8" w14:textId="77777777" w:rsidR="002118EE" w:rsidRPr="009C1CEE" w:rsidRDefault="002118EE" w:rsidP="00375117"/>
                          <w:p w14:paraId="665BEA17" w14:textId="77777777" w:rsidR="002118EE" w:rsidRDefault="002118EE" w:rsidP="00375117">
                            <w:pPr>
                              <w:pStyle w:val="Bezproreda4"/>
                              <w:jc w:val="center"/>
                              <w:rPr>
                                <w:rFonts w:ascii="Arial" w:hAnsi="Arial" w:cs="Arial"/>
                                <w:b/>
                                <w:bCs/>
                                <w:i/>
                                <w:iCs/>
                                <w:sz w:val="40"/>
                                <w:szCs w:val="38"/>
                                <w:lang w:val="hr-HR"/>
                              </w:rPr>
                            </w:pPr>
                          </w:p>
                          <w:p w14:paraId="6F305AA1" w14:textId="77777777" w:rsidR="002118EE" w:rsidRDefault="002118EE" w:rsidP="00375117">
                            <w:pPr>
                              <w:pStyle w:val="Bezproreda4"/>
                              <w:jc w:val="center"/>
                              <w:rPr>
                                <w:color w:val="FFFFFF"/>
                                <w:lang w:val="hr-HR"/>
                              </w:rPr>
                            </w:pPr>
                          </w:p>
                          <w:p w14:paraId="2D11D05F" w14:textId="77777777" w:rsidR="002118EE" w:rsidRDefault="002118EE" w:rsidP="00375117">
                            <w:pPr>
                              <w:pStyle w:val="Bezproreda4"/>
                              <w:jc w:val="center"/>
                              <w:rPr>
                                <w:color w:val="FFFFFF"/>
                                <w:lang w:val="hr-HR"/>
                              </w:rPr>
                            </w:pPr>
                          </w:p>
                          <w:p w14:paraId="1F7385FC" w14:textId="77777777" w:rsidR="002118EE" w:rsidRDefault="002118EE" w:rsidP="00375117">
                            <w:pPr>
                              <w:pStyle w:val="Bezproreda4"/>
                              <w:jc w:val="center"/>
                              <w:rPr>
                                <w:color w:val="FFFFFF"/>
                                <w:lang w:val="hr-HR"/>
                              </w:rPr>
                            </w:pPr>
                          </w:p>
                          <w:p w14:paraId="2DE7D43D" w14:textId="77777777" w:rsidR="002118EE" w:rsidRDefault="002118EE" w:rsidP="00375117">
                            <w:pPr>
                              <w:pStyle w:val="Bezproreda4"/>
                              <w:jc w:val="center"/>
                              <w:rPr>
                                <w:color w:val="FFFFFF"/>
                                <w:lang w:val="hr-HR"/>
                              </w:rPr>
                            </w:pPr>
                          </w:p>
                          <w:p w14:paraId="31C5EAC6" w14:textId="77777777" w:rsidR="002118EE" w:rsidRDefault="002118EE" w:rsidP="00375117">
                            <w:pPr>
                              <w:pStyle w:val="Bezproreda4"/>
                              <w:jc w:val="center"/>
                              <w:rPr>
                                <w:color w:val="FFFFFF"/>
                                <w:lang w:val="hr-HR"/>
                              </w:rPr>
                            </w:pPr>
                          </w:p>
                          <w:p w14:paraId="10CC73C4" w14:textId="77777777" w:rsidR="002118EE" w:rsidRDefault="002118EE" w:rsidP="00375117">
                            <w:pPr>
                              <w:pStyle w:val="Bezproreda4"/>
                              <w:jc w:val="center"/>
                              <w:rPr>
                                <w:color w:val="FFFFFF"/>
                                <w:lang w:val="hr-HR"/>
                              </w:rPr>
                            </w:pPr>
                          </w:p>
                          <w:p w14:paraId="0E81E4C6" w14:textId="77777777" w:rsidR="002118EE" w:rsidRDefault="002118EE" w:rsidP="00375117">
                            <w:pPr>
                              <w:pStyle w:val="Bezproreda4"/>
                              <w:jc w:val="center"/>
                              <w:rPr>
                                <w:color w:val="FFFFFF"/>
                                <w:lang w:val="hr-HR"/>
                              </w:rPr>
                            </w:pPr>
                          </w:p>
                          <w:p w14:paraId="283226BF" w14:textId="77777777" w:rsidR="002118EE" w:rsidRDefault="002118EE" w:rsidP="00375117">
                            <w:pPr>
                              <w:pStyle w:val="Bezproreda4"/>
                              <w:jc w:val="center"/>
                              <w:rPr>
                                <w:color w:val="FFFFFF"/>
                                <w:lang w:val="hr-HR"/>
                              </w:rPr>
                            </w:pPr>
                          </w:p>
                          <w:p w14:paraId="27052450" w14:textId="77777777" w:rsidR="002118EE" w:rsidRDefault="002118EE" w:rsidP="00375117">
                            <w:pPr>
                              <w:pStyle w:val="Bezproreda4"/>
                              <w:jc w:val="center"/>
                              <w:rPr>
                                <w:color w:val="FFFFFF"/>
                                <w:lang w:val="hr-HR"/>
                              </w:rPr>
                            </w:pPr>
                          </w:p>
                          <w:p w14:paraId="0B4ECA03" w14:textId="77777777" w:rsidR="002118EE" w:rsidRDefault="002118EE" w:rsidP="00375117">
                            <w:pPr>
                              <w:pStyle w:val="Bezproreda4"/>
                              <w:jc w:val="center"/>
                              <w:rPr>
                                <w:color w:val="FFFFFF"/>
                                <w:lang w:val="hr-HR"/>
                              </w:rPr>
                            </w:pPr>
                          </w:p>
                          <w:p w14:paraId="68A88A5D" w14:textId="77777777" w:rsidR="002118EE" w:rsidRDefault="002118EE" w:rsidP="00375117">
                            <w:pPr>
                              <w:pStyle w:val="Bezproreda4"/>
                              <w:jc w:val="center"/>
                              <w:rPr>
                                <w:color w:val="FFFFFF"/>
                                <w:lang w:val="hr-HR"/>
                              </w:rPr>
                            </w:pPr>
                          </w:p>
                          <w:p w14:paraId="24D0F13F" w14:textId="77777777" w:rsidR="002118EE" w:rsidRDefault="002118EE" w:rsidP="00375117">
                            <w:pPr>
                              <w:pStyle w:val="Bezproreda4"/>
                              <w:jc w:val="center"/>
                              <w:rPr>
                                <w:color w:val="FFFFFF"/>
                                <w:lang w:val="hr-HR"/>
                              </w:rPr>
                            </w:pPr>
                          </w:p>
                          <w:p w14:paraId="7EC3C118" w14:textId="77777777" w:rsidR="002118EE" w:rsidRDefault="002118EE" w:rsidP="00375117">
                            <w:pPr>
                              <w:pStyle w:val="Bezproreda4"/>
                              <w:jc w:val="center"/>
                              <w:rPr>
                                <w:color w:val="FFFFFF"/>
                                <w:lang w:val="hr-HR"/>
                              </w:rPr>
                            </w:pPr>
                          </w:p>
                          <w:p w14:paraId="36D3B34D" w14:textId="77777777" w:rsidR="002118EE" w:rsidRDefault="002118EE" w:rsidP="00375117">
                            <w:pPr>
                              <w:pStyle w:val="Bezproreda4"/>
                              <w:jc w:val="center"/>
                              <w:rPr>
                                <w:color w:val="FFFFFF"/>
                                <w:lang w:val="hr-HR"/>
                              </w:rPr>
                            </w:pPr>
                          </w:p>
                          <w:p w14:paraId="729254EE" w14:textId="77777777" w:rsidR="002118EE" w:rsidRDefault="002118EE" w:rsidP="00375117">
                            <w:pPr>
                              <w:pStyle w:val="Bezproreda4"/>
                              <w:jc w:val="center"/>
                              <w:rPr>
                                <w:color w:val="FFFFFF"/>
                                <w:lang w:val="hr-HR"/>
                              </w:rPr>
                            </w:pPr>
                          </w:p>
                          <w:p w14:paraId="72D124FF" w14:textId="77777777" w:rsidR="002118EE" w:rsidRDefault="002118EE" w:rsidP="00375117">
                            <w:pPr>
                              <w:pStyle w:val="Bezproreda4"/>
                              <w:jc w:val="center"/>
                              <w:rPr>
                                <w:color w:val="FFFFFF"/>
                                <w:lang w:val="hr-HR"/>
                              </w:rPr>
                            </w:pPr>
                          </w:p>
                          <w:p w14:paraId="5C853243" w14:textId="77777777" w:rsidR="002118EE" w:rsidRDefault="002118EE" w:rsidP="00375117">
                            <w:pPr>
                              <w:pStyle w:val="Bezproreda4"/>
                              <w:jc w:val="center"/>
                              <w:rPr>
                                <w:color w:val="FFFFFF"/>
                                <w:lang w:val="hr-HR"/>
                              </w:rPr>
                            </w:pPr>
                          </w:p>
                          <w:p w14:paraId="7CE61645" w14:textId="77777777" w:rsidR="002118EE" w:rsidRDefault="002118EE" w:rsidP="00375117">
                            <w:pPr>
                              <w:pStyle w:val="Bezproreda4"/>
                              <w:jc w:val="center"/>
                              <w:rPr>
                                <w:color w:val="FFFFFF"/>
                                <w:lang w:val="hr-HR"/>
                              </w:rPr>
                            </w:pPr>
                          </w:p>
                          <w:p w14:paraId="21F13E6B" w14:textId="77777777" w:rsidR="002118EE" w:rsidRDefault="002118EE" w:rsidP="00375117">
                            <w:pPr>
                              <w:pStyle w:val="Bezproreda4"/>
                              <w:jc w:val="center"/>
                              <w:rPr>
                                <w:color w:val="FFFFFF"/>
                                <w:lang w:val="hr-HR"/>
                              </w:rPr>
                            </w:pPr>
                          </w:p>
                          <w:p w14:paraId="3EF45155" w14:textId="77777777" w:rsidR="002118EE" w:rsidRDefault="002118EE" w:rsidP="00375117">
                            <w:pPr>
                              <w:pStyle w:val="Bezproreda4"/>
                              <w:jc w:val="center"/>
                              <w:rPr>
                                <w:color w:val="FFFFFF"/>
                                <w:lang w:val="hr-HR"/>
                              </w:rPr>
                            </w:pPr>
                          </w:p>
                          <w:p w14:paraId="3DE10824" w14:textId="77777777" w:rsidR="002118EE" w:rsidRDefault="002118EE" w:rsidP="00375117">
                            <w:pPr>
                              <w:pStyle w:val="Bezproreda4"/>
                              <w:jc w:val="center"/>
                              <w:rPr>
                                <w:color w:val="FFFFFF"/>
                                <w:lang w:val="hr-HR"/>
                              </w:rPr>
                            </w:pPr>
                          </w:p>
                        </w:txbxContent>
                      </wps:txbx>
                      <wps:bodyPr rot="0" vert="horz" wrap="square" lIns="228600" tIns="1371600" rIns="4572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8F1D4" id="Pravokutnik 2" o:spid="_x0000_s1026" style="position:absolute;margin-left:125.35pt;margin-top:-94.75pt;width:6in;height:86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" fillcolor="#f7fafd [180]" strokecolor="white" strokeweight="1pt">
                <v:fill color2="#cde0f2 [980]" colors="0 #f7fafd;39977f #b5d2ec;55706f #b5d2ec;1 #cee1f2" focus="100%" type="gradient"/>
                <v:textbox inset="18pt,108pt,36pt">
                  <w:txbxContent>
                    <w:p w14:paraId="6459B295" w14:textId="77777777" w:rsidR="002118EE" w:rsidRDefault="002118EE" w:rsidP="00375117">
                      <w:pPr>
                        <w:pStyle w:val="Bezproreda4"/>
                        <w:jc w:val="center"/>
                        <w:rPr>
                          <w:rFonts w:ascii="Bookman Old Style" w:hAnsi="Bookman Old Style" w:cs="Bookman Old Style"/>
                          <w:b/>
                          <w:bCs/>
                          <w:i/>
                          <w:iCs/>
                          <w:sz w:val="32"/>
                          <w:szCs w:val="32"/>
                          <w:lang w:val="de-DE"/>
                        </w:rPr>
                      </w:pPr>
                      <w:r w:rsidRPr="002D6A78">
                        <w:rPr>
                          <w:noProof/>
                          <w:lang w:val="hr-HR" w:eastAsia="hr-HR"/>
                        </w:rPr>
                        <w:drawing>
                          <wp:inline distT="0" distB="0" distL="0" distR="0" wp14:anchorId="53C1B7E4" wp14:editId="211E388E">
                            <wp:extent cx="952500" cy="124777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247775"/>
                                    </a:xfrm>
                                    <a:prstGeom prst="rect">
                                      <a:avLst/>
                                    </a:prstGeom>
                                    <a:noFill/>
                                    <a:ln>
                                      <a:noFill/>
                                    </a:ln>
                                  </pic:spPr>
                                </pic:pic>
                              </a:graphicData>
                            </a:graphic>
                          </wp:inline>
                        </w:drawing>
                      </w:r>
                    </w:p>
                    <w:p w14:paraId="6024E049" w14:textId="77777777" w:rsidR="002118EE" w:rsidRPr="003172EB" w:rsidRDefault="002118EE" w:rsidP="00375117">
                      <w:pPr>
                        <w:pStyle w:val="Bezproreda4"/>
                        <w:jc w:val="center"/>
                        <w:rPr>
                          <w:rFonts w:ascii="Bookman Old Style" w:hAnsi="Bookman Old Style" w:cs="Bookman Old Style"/>
                          <w:b/>
                          <w:bCs/>
                          <w:iCs/>
                          <w:sz w:val="32"/>
                          <w:szCs w:val="32"/>
                          <w:lang w:val="de-DE"/>
                        </w:rPr>
                      </w:pPr>
                    </w:p>
                    <w:p w14:paraId="01BD286A" w14:textId="77777777" w:rsidR="002118EE" w:rsidRPr="003172EB" w:rsidRDefault="002118EE" w:rsidP="00375117">
                      <w:pPr>
                        <w:pStyle w:val="Bezproreda4"/>
                        <w:jc w:val="center"/>
                        <w:rPr>
                          <w:rFonts w:ascii="Bookman Old Style" w:hAnsi="Bookman Old Style" w:cs="Bookman Old Style"/>
                          <w:b/>
                          <w:bCs/>
                          <w:iCs/>
                          <w:sz w:val="32"/>
                          <w:szCs w:val="32"/>
                          <w:lang w:val="de-DE"/>
                        </w:rPr>
                      </w:pPr>
                    </w:p>
                    <w:p w14:paraId="50C42075" w14:textId="77777777" w:rsidR="002118EE" w:rsidRPr="003172EB" w:rsidRDefault="002118EE" w:rsidP="00375117">
                      <w:pPr>
                        <w:pStyle w:val="Bezproreda4"/>
                        <w:jc w:val="center"/>
                        <w:rPr>
                          <w:rFonts w:ascii="Bookman Old Style" w:hAnsi="Bookman Old Style" w:cs="Bookman Old Style"/>
                          <w:b/>
                          <w:bCs/>
                          <w:iCs/>
                          <w:sz w:val="32"/>
                          <w:szCs w:val="32"/>
                          <w:lang w:val="de-DE"/>
                        </w:rPr>
                      </w:pPr>
                    </w:p>
                    <w:p w14:paraId="0F1DF9F5" w14:textId="77777777" w:rsidR="002118EE" w:rsidRPr="003172EB" w:rsidRDefault="002118EE" w:rsidP="00375117">
                      <w:pPr>
                        <w:pStyle w:val="Bezproreda4"/>
                        <w:jc w:val="center"/>
                        <w:rPr>
                          <w:rFonts w:ascii="Bookman Old Style" w:hAnsi="Bookman Old Style" w:cs="Bookman Old Style"/>
                          <w:b/>
                          <w:bCs/>
                          <w:iCs/>
                          <w:color w:val="333399"/>
                          <w:sz w:val="32"/>
                          <w:szCs w:val="32"/>
                          <w:lang w:val="de-DE"/>
                        </w:rPr>
                      </w:pPr>
                    </w:p>
                    <w:p w14:paraId="0C0AE122" w14:textId="77777777" w:rsidR="002118EE" w:rsidRPr="00BE0E36" w:rsidRDefault="002118EE" w:rsidP="00375117">
                      <w:pPr>
                        <w:jc w:val="center"/>
                        <w:rPr>
                          <w:rFonts w:ascii="Times New Roman" w:hAnsi="Times New Roman"/>
                          <w:bCs/>
                          <w:color w:val="000080"/>
                          <w:sz w:val="32"/>
                          <w:lang w:val="pl-PL"/>
                        </w:rPr>
                      </w:pPr>
                      <w:bookmarkStart w:id="2" w:name="OLE_LINK4"/>
                      <w:r w:rsidRPr="00BE0E36">
                        <w:rPr>
                          <w:rFonts w:ascii="Times New Roman" w:hAnsi="Times New Roman"/>
                          <w:bCs/>
                          <w:color w:val="000080"/>
                          <w:sz w:val="32"/>
                          <w:lang w:val="pl-PL"/>
                        </w:rPr>
                        <w:t>REPUBLIKA HRVATSKA</w:t>
                      </w:r>
                    </w:p>
                    <w:p w14:paraId="186B8083" w14:textId="77777777" w:rsidR="002118EE" w:rsidRPr="00BE0E36" w:rsidRDefault="002118EE" w:rsidP="00375117">
                      <w:pPr>
                        <w:jc w:val="center"/>
                        <w:rPr>
                          <w:rFonts w:ascii="Times New Roman" w:hAnsi="Times New Roman"/>
                          <w:bCs/>
                          <w:color w:val="000080"/>
                          <w:sz w:val="32"/>
                          <w:lang w:val="pl-PL"/>
                        </w:rPr>
                      </w:pPr>
                      <w:r w:rsidRPr="00BE0E36">
                        <w:rPr>
                          <w:rFonts w:ascii="Times New Roman" w:hAnsi="Times New Roman"/>
                          <w:bCs/>
                          <w:color w:val="000080"/>
                          <w:sz w:val="32"/>
                          <w:lang w:val="pl-PL"/>
                        </w:rPr>
                        <w:t>MINISTARSTVO FINANCIJA</w:t>
                      </w:r>
                    </w:p>
                    <w:p w14:paraId="6F2DED0A" w14:textId="77777777" w:rsidR="002118EE" w:rsidRDefault="002118EE" w:rsidP="00375117">
                      <w:pPr>
                        <w:jc w:val="center"/>
                        <w:rPr>
                          <w:rFonts w:ascii="Arial" w:hAnsi="Arial" w:cs="Arial"/>
                          <w:bCs/>
                          <w:color w:val="000080"/>
                          <w:sz w:val="32"/>
                          <w:lang w:val="pl-PL"/>
                        </w:rPr>
                      </w:pPr>
                    </w:p>
                    <w:p w14:paraId="4FEB9576" w14:textId="77777777" w:rsidR="002118EE" w:rsidRDefault="002118EE" w:rsidP="00375117">
                      <w:pPr>
                        <w:jc w:val="center"/>
                        <w:rPr>
                          <w:rFonts w:ascii="Arial" w:hAnsi="Arial" w:cs="Arial"/>
                          <w:bCs/>
                          <w:color w:val="000080"/>
                          <w:sz w:val="32"/>
                          <w:lang w:val="pl-PL"/>
                        </w:rPr>
                      </w:pPr>
                    </w:p>
                    <w:p w14:paraId="1BD1C163" w14:textId="77777777" w:rsidR="002118EE" w:rsidRPr="003172EB" w:rsidRDefault="002118EE" w:rsidP="00375117">
                      <w:pPr>
                        <w:jc w:val="center"/>
                        <w:rPr>
                          <w:rFonts w:ascii="Arial" w:hAnsi="Arial" w:cs="Arial"/>
                          <w:bCs/>
                          <w:color w:val="000080"/>
                          <w:sz w:val="32"/>
                          <w:lang w:val="pl-PL"/>
                        </w:rPr>
                      </w:pPr>
                    </w:p>
                    <w:p w14:paraId="58F4AD8F" w14:textId="77777777" w:rsidR="002118EE" w:rsidRPr="00BE0E36" w:rsidRDefault="002118EE" w:rsidP="00375117">
                      <w:pPr>
                        <w:jc w:val="center"/>
                        <w:rPr>
                          <w:rFonts w:ascii="Times New Roman" w:hAnsi="Times New Roman"/>
                          <w:bCs/>
                          <w:iCs/>
                          <w:color w:val="000080"/>
                          <w:sz w:val="32"/>
                          <w:szCs w:val="32"/>
                          <w:lang w:val="pl-PL"/>
                        </w:rPr>
                      </w:pPr>
                      <w:r w:rsidRPr="00BE0E36">
                        <w:rPr>
                          <w:rFonts w:ascii="Times New Roman" w:hAnsi="Times New Roman"/>
                          <w:bCs/>
                          <w:iCs/>
                          <w:color w:val="000080"/>
                          <w:sz w:val="32"/>
                          <w:szCs w:val="32"/>
                          <w:lang w:val="pl-PL"/>
                        </w:rPr>
                        <w:t>URED ZA SPRJEČAVANJE</w:t>
                      </w:r>
                    </w:p>
                    <w:p w14:paraId="3DB32270" w14:textId="77777777" w:rsidR="002118EE" w:rsidRPr="00BE0E36" w:rsidRDefault="002118EE" w:rsidP="00375117">
                      <w:pPr>
                        <w:jc w:val="center"/>
                        <w:rPr>
                          <w:rFonts w:ascii="Times New Roman" w:hAnsi="Times New Roman"/>
                          <w:bCs/>
                          <w:color w:val="000080"/>
                          <w:sz w:val="32"/>
                          <w:szCs w:val="32"/>
                          <w:lang w:val="pl-PL"/>
                        </w:rPr>
                      </w:pPr>
                      <w:r w:rsidRPr="00BE0E36">
                        <w:rPr>
                          <w:rFonts w:ascii="Times New Roman" w:hAnsi="Times New Roman"/>
                          <w:bCs/>
                          <w:color w:val="000080"/>
                          <w:sz w:val="32"/>
                          <w:szCs w:val="32"/>
                          <w:lang w:val="pl-PL"/>
                        </w:rPr>
                        <w:t>PRANJA NOVCA</w:t>
                      </w:r>
                      <w:bookmarkEnd w:id="2"/>
                    </w:p>
                    <w:p w14:paraId="1C3CF436" w14:textId="77777777" w:rsidR="002118EE" w:rsidRPr="00BE0E36" w:rsidRDefault="002118EE" w:rsidP="00375117">
                      <w:pPr>
                        <w:rPr>
                          <w:rFonts w:ascii="Times New Roman" w:hAnsi="Times New Roman"/>
                          <w:bCs/>
                          <w:color w:val="000080"/>
                          <w:sz w:val="32"/>
                          <w:szCs w:val="32"/>
                        </w:rPr>
                      </w:pPr>
                    </w:p>
                    <w:p w14:paraId="69718711" w14:textId="77777777" w:rsidR="002118EE" w:rsidRPr="00211099" w:rsidRDefault="002118EE" w:rsidP="00375117">
                      <w:pPr>
                        <w:jc w:val="center"/>
                        <w:rPr>
                          <w:rFonts w:ascii="Times New Roman" w:hAnsi="Times New Roman"/>
                          <w:bCs/>
                          <w:color w:val="000080"/>
                          <w:sz w:val="32"/>
                          <w:szCs w:val="32"/>
                        </w:rPr>
                      </w:pPr>
                      <w:r w:rsidRPr="00BE0E36">
                        <w:rPr>
                          <w:rFonts w:ascii="Times New Roman" w:hAnsi="Times New Roman"/>
                          <w:bCs/>
                          <w:color w:val="000080"/>
                          <w:sz w:val="32"/>
                          <w:szCs w:val="32"/>
                          <w:lang w:val="pl-PL"/>
                        </w:rPr>
                        <w:t>FINANCIJSKO</w:t>
                      </w:r>
                      <w:r w:rsidRPr="00BE0E36">
                        <w:rPr>
                          <w:rFonts w:ascii="Times New Roman" w:hAnsi="Times New Roman"/>
                          <w:bCs/>
                          <w:color w:val="000080"/>
                          <w:sz w:val="32"/>
                          <w:szCs w:val="32"/>
                        </w:rPr>
                        <w:t xml:space="preserve"> – </w:t>
                      </w:r>
                      <w:r w:rsidRPr="00BE0E36">
                        <w:rPr>
                          <w:rFonts w:ascii="Times New Roman" w:hAnsi="Times New Roman"/>
                          <w:bCs/>
                          <w:color w:val="000080"/>
                          <w:sz w:val="32"/>
                          <w:szCs w:val="32"/>
                          <w:lang w:val="pl-PL"/>
                        </w:rPr>
                        <w:t>OBAVJE</w:t>
                      </w:r>
                      <w:r w:rsidRPr="00BE0E36">
                        <w:rPr>
                          <w:rFonts w:ascii="Times New Roman" w:hAnsi="Times New Roman"/>
                          <w:bCs/>
                          <w:color w:val="000080"/>
                          <w:sz w:val="32"/>
                          <w:szCs w:val="32"/>
                        </w:rPr>
                        <w:t>Š</w:t>
                      </w:r>
                      <w:r w:rsidRPr="00BE0E36">
                        <w:rPr>
                          <w:rFonts w:ascii="Times New Roman" w:hAnsi="Times New Roman"/>
                          <w:bCs/>
                          <w:color w:val="000080"/>
                          <w:sz w:val="32"/>
                          <w:szCs w:val="32"/>
                          <w:lang w:val="pl-PL"/>
                        </w:rPr>
                        <w:t>TAJNA</w:t>
                      </w:r>
                      <w:r w:rsidRPr="00BE0E36">
                        <w:rPr>
                          <w:rFonts w:ascii="Times New Roman" w:hAnsi="Times New Roman"/>
                          <w:bCs/>
                          <w:color w:val="000080"/>
                          <w:sz w:val="32"/>
                          <w:szCs w:val="32"/>
                        </w:rPr>
                        <w:t xml:space="preserve"> </w:t>
                      </w:r>
                      <w:r w:rsidRPr="00BE0E36">
                        <w:rPr>
                          <w:rFonts w:ascii="Times New Roman" w:hAnsi="Times New Roman"/>
                          <w:bCs/>
                          <w:color w:val="000080"/>
                          <w:sz w:val="32"/>
                          <w:szCs w:val="32"/>
                          <w:lang w:val="pl-PL"/>
                        </w:rPr>
                        <w:t>JEDINICA</w:t>
                      </w:r>
                    </w:p>
                    <w:p w14:paraId="43579402" w14:textId="77777777" w:rsidR="002118EE" w:rsidRPr="003172EB" w:rsidRDefault="002118EE" w:rsidP="00375117">
                      <w:pPr>
                        <w:jc w:val="center"/>
                        <w:rPr>
                          <w:rFonts w:ascii="Arial" w:hAnsi="Arial" w:cs="Arial"/>
                          <w:bCs/>
                          <w:color w:val="000080"/>
                          <w:sz w:val="32"/>
                          <w:szCs w:val="32"/>
                        </w:rPr>
                      </w:pPr>
                    </w:p>
                    <w:p w14:paraId="11D5DBBC" w14:textId="77777777" w:rsidR="002118EE" w:rsidRPr="00BE0E36" w:rsidRDefault="002118EE" w:rsidP="00375117">
                      <w:pPr>
                        <w:pStyle w:val="Bezproreda4"/>
                        <w:jc w:val="center"/>
                        <w:rPr>
                          <w:rFonts w:ascii="Times New Roman" w:hAnsi="Times New Roman" w:cs="Times New Roman"/>
                          <w:b/>
                          <w:color w:val="000080"/>
                          <w:sz w:val="40"/>
                          <w:szCs w:val="32"/>
                          <w:lang w:val="hr-HR"/>
                        </w:rPr>
                      </w:pPr>
                      <w:r w:rsidRPr="00BE0E36">
                        <w:rPr>
                          <w:rFonts w:ascii="Times New Roman" w:hAnsi="Times New Roman" w:cs="Times New Roman"/>
                          <w:b/>
                          <w:color w:val="000080"/>
                          <w:sz w:val="40"/>
                          <w:szCs w:val="32"/>
                          <w:lang w:val="pl-PL"/>
                        </w:rPr>
                        <w:t>GODI</w:t>
                      </w:r>
                      <w:r w:rsidRPr="00BE0E36">
                        <w:rPr>
                          <w:rFonts w:ascii="Times New Roman" w:hAnsi="Times New Roman" w:cs="Times New Roman"/>
                          <w:b/>
                          <w:color w:val="000080"/>
                          <w:sz w:val="40"/>
                          <w:szCs w:val="32"/>
                          <w:lang w:val="hr-HR"/>
                        </w:rPr>
                        <w:t>Š</w:t>
                      </w:r>
                      <w:r w:rsidRPr="00BE0E36">
                        <w:rPr>
                          <w:rFonts w:ascii="Times New Roman" w:hAnsi="Times New Roman" w:cs="Times New Roman"/>
                          <w:b/>
                          <w:color w:val="000080"/>
                          <w:sz w:val="40"/>
                          <w:szCs w:val="32"/>
                          <w:lang w:val="pl-PL"/>
                        </w:rPr>
                        <w:t>NJE</w:t>
                      </w:r>
                      <w:r w:rsidRPr="00BE0E36">
                        <w:rPr>
                          <w:rFonts w:ascii="Times New Roman" w:hAnsi="Times New Roman" w:cs="Times New Roman"/>
                          <w:b/>
                          <w:color w:val="000080"/>
                          <w:sz w:val="40"/>
                          <w:szCs w:val="32"/>
                          <w:lang w:val="hr-HR"/>
                        </w:rPr>
                        <w:t xml:space="preserve">  </w:t>
                      </w:r>
                    </w:p>
                    <w:p w14:paraId="545B67F4" w14:textId="77777777" w:rsidR="002118EE" w:rsidRPr="00BE0E36" w:rsidRDefault="002118EE" w:rsidP="00375117">
                      <w:pPr>
                        <w:pStyle w:val="Bezproreda4"/>
                        <w:jc w:val="center"/>
                        <w:rPr>
                          <w:rFonts w:ascii="Times New Roman" w:hAnsi="Times New Roman" w:cs="Times New Roman"/>
                          <w:b/>
                          <w:color w:val="000080"/>
                          <w:sz w:val="40"/>
                          <w:szCs w:val="32"/>
                          <w:lang w:val="hr-HR"/>
                        </w:rPr>
                      </w:pPr>
                      <w:r w:rsidRPr="00BE0E36">
                        <w:rPr>
                          <w:rFonts w:ascii="Times New Roman" w:hAnsi="Times New Roman" w:cs="Times New Roman"/>
                          <w:b/>
                          <w:color w:val="000080"/>
                          <w:sz w:val="40"/>
                          <w:szCs w:val="32"/>
                          <w:lang w:val="pl-PL"/>
                        </w:rPr>
                        <w:t>IZVJE</w:t>
                      </w:r>
                      <w:r w:rsidRPr="00BE0E36">
                        <w:rPr>
                          <w:rFonts w:ascii="Times New Roman" w:hAnsi="Times New Roman" w:cs="Times New Roman"/>
                          <w:b/>
                          <w:color w:val="000080"/>
                          <w:sz w:val="40"/>
                          <w:szCs w:val="32"/>
                          <w:lang w:val="hr-HR"/>
                        </w:rPr>
                        <w:t xml:space="preserve">ŠĆE </w:t>
                      </w:r>
                      <w:r w:rsidRPr="00BE0E36">
                        <w:rPr>
                          <w:rFonts w:ascii="Times New Roman" w:hAnsi="Times New Roman" w:cs="Times New Roman"/>
                          <w:b/>
                          <w:color w:val="000080"/>
                          <w:sz w:val="40"/>
                          <w:szCs w:val="32"/>
                          <w:lang w:val="pl-PL"/>
                        </w:rPr>
                        <w:t>O</w:t>
                      </w:r>
                      <w:r w:rsidRPr="00BE0E36">
                        <w:rPr>
                          <w:rFonts w:ascii="Times New Roman" w:hAnsi="Times New Roman" w:cs="Times New Roman"/>
                          <w:b/>
                          <w:color w:val="000080"/>
                          <w:sz w:val="40"/>
                          <w:szCs w:val="32"/>
                          <w:lang w:val="hr-HR"/>
                        </w:rPr>
                        <w:t xml:space="preserve"> </w:t>
                      </w:r>
                      <w:r w:rsidRPr="00BE0E36">
                        <w:rPr>
                          <w:rFonts w:ascii="Times New Roman" w:hAnsi="Times New Roman" w:cs="Times New Roman"/>
                          <w:b/>
                          <w:color w:val="000080"/>
                          <w:sz w:val="40"/>
                          <w:szCs w:val="32"/>
                          <w:lang w:val="pl-PL"/>
                        </w:rPr>
                        <w:t>RADU</w:t>
                      </w:r>
                      <w:r w:rsidRPr="00BE0E36">
                        <w:rPr>
                          <w:rFonts w:ascii="Times New Roman" w:hAnsi="Times New Roman" w:cs="Times New Roman"/>
                          <w:b/>
                          <w:color w:val="000080"/>
                          <w:sz w:val="40"/>
                          <w:szCs w:val="32"/>
                          <w:lang w:val="hr-HR"/>
                        </w:rPr>
                        <w:t xml:space="preserve"> </w:t>
                      </w:r>
                      <w:r w:rsidRPr="00BE0E36">
                        <w:rPr>
                          <w:rFonts w:ascii="Times New Roman" w:hAnsi="Times New Roman" w:cs="Times New Roman"/>
                          <w:b/>
                          <w:color w:val="000080"/>
                          <w:sz w:val="40"/>
                          <w:szCs w:val="32"/>
                          <w:lang w:val="pl-PL"/>
                        </w:rPr>
                        <w:t>UREDA</w:t>
                      </w:r>
                      <w:r w:rsidRPr="00BE0E36">
                        <w:rPr>
                          <w:rFonts w:ascii="Times New Roman" w:hAnsi="Times New Roman" w:cs="Times New Roman"/>
                          <w:b/>
                          <w:color w:val="000080"/>
                          <w:sz w:val="40"/>
                          <w:szCs w:val="32"/>
                          <w:lang w:val="hr-HR"/>
                        </w:rPr>
                        <w:t xml:space="preserve"> </w:t>
                      </w:r>
                    </w:p>
                    <w:p w14:paraId="51AFDF5F" w14:textId="2BD3A28B" w:rsidR="002118EE" w:rsidRPr="00BE0E36" w:rsidRDefault="002118EE" w:rsidP="00375117">
                      <w:pPr>
                        <w:pStyle w:val="Bezproreda4"/>
                        <w:jc w:val="center"/>
                        <w:rPr>
                          <w:rFonts w:ascii="Times New Roman" w:hAnsi="Times New Roman" w:cs="Times New Roman"/>
                          <w:b/>
                          <w:color w:val="000080"/>
                          <w:sz w:val="40"/>
                          <w:szCs w:val="32"/>
                          <w:lang w:val="pl-PL"/>
                        </w:rPr>
                      </w:pPr>
                      <w:r w:rsidRPr="00BE0E36">
                        <w:rPr>
                          <w:rFonts w:ascii="Times New Roman" w:hAnsi="Times New Roman" w:cs="Times New Roman"/>
                          <w:b/>
                          <w:color w:val="000080"/>
                          <w:sz w:val="40"/>
                          <w:szCs w:val="32"/>
                          <w:lang w:val="pl-PL"/>
                        </w:rPr>
                        <w:t>ZA 20</w:t>
                      </w:r>
                      <w:r>
                        <w:rPr>
                          <w:rFonts w:ascii="Times New Roman" w:hAnsi="Times New Roman" w:cs="Times New Roman"/>
                          <w:b/>
                          <w:color w:val="000080"/>
                          <w:sz w:val="40"/>
                          <w:szCs w:val="32"/>
                          <w:lang w:val="pl-PL"/>
                        </w:rPr>
                        <w:t>22</w:t>
                      </w:r>
                      <w:r w:rsidRPr="00BE0E36">
                        <w:rPr>
                          <w:rFonts w:ascii="Times New Roman" w:hAnsi="Times New Roman" w:cs="Times New Roman"/>
                          <w:b/>
                          <w:color w:val="000080"/>
                          <w:sz w:val="40"/>
                          <w:szCs w:val="32"/>
                          <w:lang w:val="pl-PL"/>
                        </w:rPr>
                        <w:t>. GODINU</w:t>
                      </w:r>
                    </w:p>
                    <w:p w14:paraId="63191048" w14:textId="77777777" w:rsidR="002118EE" w:rsidRPr="003172EB" w:rsidRDefault="002118EE" w:rsidP="00375117">
                      <w:pPr>
                        <w:pStyle w:val="Bezproreda4"/>
                        <w:jc w:val="center"/>
                        <w:rPr>
                          <w:rFonts w:ascii="Arial" w:hAnsi="Arial" w:cs="Arial"/>
                          <w:b/>
                          <w:color w:val="2655CA"/>
                          <w:lang w:val="hr-HR"/>
                        </w:rPr>
                      </w:pPr>
                    </w:p>
                    <w:p w14:paraId="53929304" w14:textId="77777777" w:rsidR="002118EE" w:rsidRPr="003172EB" w:rsidRDefault="002118EE" w:rsidP="00375117">
                      <w:pPr>
                        <w:pStyle w:val="Bezproreda4"/>
                        <w:jc w:val="center"/>
                        <w:rPr>
                          <w:rFonts w:ascii="Arial" w:hAnsi="Arial" w:cs="Arial"/>
                          <w:b/>
                          <w:color w:val="2655CA"/>
                          <w:lang w:val="hr-HR"/>
                        </w:rPr>
                      </w:pPr>
                    </w:p>
                    <w:p w14:paraId="391ED9C5" w14:textId="77777777" w:rsidR="002118EE" w:rsidRPr="003172EB" w:rsidRDefault="002118EE" w:rsidP="00375117">
                      <w:pPr>
                        <w:pStyle w:val="Bezproreda4"/>
                        <w:jc w:val="center"/>
                        <w:rPr>
                          <w:rFonts w:ascii="Arial" w:hAnsi="Arial" w:cs="Arial"/>
                          <w:b/>
                          <w:color w:val="2655CA"/>
                          <w:lang w:val="hr-HR"/>
                        </w:rPr>
                      </w:pPr>
                    </w:p>
                    <w:p w14:paraId="6F9521D2" w14:textId="77777777" w:rsidR="002118EE" w:rsidRPr="005D4A1F" w:rsidRDefault="002118EE" w:rsidP="00375117">
                      <w:pPr>
                        <w:pStyle w:val="Bezproreda4"/>
                        <w:jc w:val="center"/>
                        <w:rPr>
                          <w:rFonts w:ascii="Arial" w:hAnsi="Arial" w:cs="Arial"/>
                          <w:b/>
                          <w:color w:val="2655CA"/>
                          <w:sz w:val="24"/>
                          <w:szCs w:val="24"/>
                          <w:highlight w:val="yellow"/>
                          <w:lang w:val="hr-HR"/>
                        </w:rPr>
                      </w:pPr>
                    </w:p>
                    <w:p w14:paraId="473F6B87" w14:textId="77777777" w:rsidR="002118EE" w:rsidRPr="003172EB" w:rsidRDefault="002118EE" w:rsidP="00375117">
                      <w:pPr>
                        <w:pStyle w:val="Bezproreda4"/>
                        <w:jc w:val="center"/>
                        <w:rPr>
                          <w:rFonts w:ascii="Arial" w:hAnsi="Arial" w:cs="Arial"/>
                          <w:b/>
                          <w:color w:val="2655CA"/>
                          <w:highlight w:val="yellow"/>
                          <w:lang w:val="hr-HR"/>
                        </w:rPr>
                      </w:pPr>
                    </w:p>
                    <w:p w14:paraId="670CE5CB" w14:textId="77777777" w:rsidR="002118EE" w:rsidRPr="003172EB" w:rsidRDefault="002118EE" w:rsidP="00375117">
                      <w:pPr>
                        <w:pStyle w:val="Bezproreda4"/>
                        <w:jc w:val="center"/>
                        <w:rPr>
                          <w:rFonts w:ascii="Arial" w:hAnsi="Arial" w:cs="Arial"/>
                          <w:b/>
                          <w:color w:val="2655CA"/>
                          <w:highlight w:val="yellow"/>
                          <w:lang w:val="hr-HR"/>
                        </w:rPr>
                      </w:pPr>
                    </w:p>
                    <w:p w14:paraId="74D88F15" w14:textId="77777777" w:rsidR="002118EE" w:rsidRPr="003172EB" w:rsidRDefault="002118EE" w:rsidP="00375117">
                      <w:pPr>
                        <w:pStyle w:val="Bezproreda4"/>
                        <w:jc w:val="center"/>
                        <w:rPr>
                          <w:rFonts w:ascii="Arial" w:hAnsi="Arial" w:cs="Arial"/>
                          <w:b/>
                          <w:color w:val="2655CA"/>
                          <w:highlight w:val="yellow"/>
                          <w:lang w:val="hr-HR"/>
                        </w:rPr>
                      </w:pPr>
                    </w:p>
                    <w:p w14:paraId="32F61FE0" w14:textId="77777777" w:rsidR="002118EE" w:rsidRPr="003172EB" w:rsidRDefault="002118EE" w:rsidP="00375117">
                      <w:pPr>
                        <w:pStyle w:val="Bezproreda4"/>
                        <w:jc w:val="center"/>
                        <w:rPr>
                          <w:rFonts w:ascii="Arial" w:hAnsi="Arial" w:cs="Arial"/>
                          <w:b/>
                          <w:color w:val="2655CA"/>
                          <w:highlight w:val="yellow"/>
                          <w:lang w:val="hr-HR"/>
                        </w:rPr>
                      </w:pPr>
                    </w:p>
                    <w:p w14:paraId="2731A8F9" w14:textId="77777777" w:rsidR="002118EE" w:rsidRPr="003172EB" w:rsidRDefault="002118EE" w:rsidP="00375117">
                      <w:pPr>
                        <w:pStyle w:val="Bezproreda4"/>
                        <w:jc w:val="center"/>
                        <w:rPr>
                          <w:rFonts w:ascii="Arial" w:hAnsi="Arial" w:cs="Arial"/>
                          <w:b/>
                          <w:color w:val="2655CA"/>
                          <w:highlight w:val="yellow"/>
                          <w:lang w:val="hr-HR"/>
                        </w:rPr>
                      </w:pPr>
                    </w:p>
                    <w:p w14:paraId="372C0EB5" w14:textId="77777777" w:rsidR="002118EE" w:rsidRPr="003172EB" w:rsidRDefault="002118EE" w:rsidP="00375117">
                      <w:pPr>
                        <w:pStyle w:val="Bezproreda4"/>
                        <w:jc w:val="center"/>
                        <w:rPr>
                          <w:rFonts w:ascii="Arial" w:hAnsi="Arial" w:cs="Arial"/>
                          <w:b/>
                          <w:color w:val="2655CA"/>
                          <w:highlight w:val="yellow"/>
                          <w:lang w:val="hr-HR"/>
                        </w:rPr>
                      </w:pPr>
                    </w:p>
                    <w:p w14:paraId="303CFCB6" w14:textId="77777777" w:rsidR="002118EE" w:rsidRPr="003172EB" w:rsidRDefault="002118EE" w:rsidP="00375117">
                      <w:pPr>
                        <w:pStyle w:val="Bezproreda4"/>
                        <w:jc w:val="center"/>
                        <w:rPr>
                          <w:rFonts w:ascii="Arial" w:hAnsi="Arial" w:cs="Arial"/>
                          <w:b/>
                          <w:color w:val="2655CA"/>
                          <w:highlight w:val="yellow"/>
                          <w:lang w:val="hr-HR"/>
                        </w:rPr>
                      </w:pPr>
                    </w:p>
                    <w:p w14:paraId="2EB7AC7B" w14:textId="77777777" w:rsidR="002118EE" w:rsidRPr="009641B8" w:rsidRDefault="002118EE" w:rsidP="00375117">
                      <w:pPr>
                        <w:jc w:val="center"/>
                        <w:rPr>
                          <w:rFonts w:ascii="Times New Roman" w:hAnsi="Times New Roman" w:cs="Times New Roman"/>
                          <w:bCs/>
                          <w:color w:val="000080"/>
                          <w:sz w:val="28"/>
                        </w:rPr>
                      </w:pPr>
                      <w:r w:rsidRPr="009641B8">
                        <w:rPr>
                          <w:rFonts w:ascii="Times New Roman" w:hAnsi="Times New Roman" w:cs="Times New Roman"/>
                          <w:bCs/>
                          <w:color w:val="000080"/>
                          <w:sz w:val="28"/>
                        </w:rPr>
                        <w:t>Zagreb, prosinac 2023.</w:t>
                      </w:r>
                    </w:p>
                    <w:p w14:paraId="5760C6C5" w14:textId="77777777" w:rsidR="002118EE" w:rsidRPr="003172EB" w:rsidRDefault="002118EE" w:rsidP="00375117">
                      <w:pPr>
                        <w:pStyle w:val="Bezproreda4"/>
                        <w:jc w:val="center"/>
                        <w:rPr>
                          <w:rFonts w:ascii="Arial" w:hAnsi="Arial" w:cs="Arial"/>
                          <w:b/>
                          <w:color w:val="2655CA"/>
                          <w:lang w:val="hr-HR"/>
                        </w:rPr>
                      </w:pPr>
                    </w:p>
                    <w:p w14:paraId="36B65679" w14:textId="77777777" w:rsidR="002118EE" w:rsidRDefault="002118EE" w:rsidP="00375117">
                      <w:pPr>
                        <w:pStyle w:val="Bezproreda4"/>
                        <w:jc w:val="center"/>
                        <w:rPr>
                          <w:color w:val="2655CA"/>
                          <w:lang w:val="hr-HR"/>
                        </w:rPr>
                      </w:pPr>
                    </w:p>
                    <w:p w14:paraId="0C2030CF" w14:textId="77777777" w:rsidR="002118EE" w:rsidRPr="00BF4BDC" w:rsidRDefault="002118EE" w:rsidP="00375117">
                      <w:pPr>
                        <w:pStyle w:val="Bezproreda4"/>
                        <w:jc w:val="center"/>
                        <w:rPr>
                          <w:rFonts w:ascii="Bookman Old Style" w:hAnsi="Bookman Old Style" w:cs="Bookman Old Style"/>
                          <w:b/>
                          <w:bCs/>
                          <w:iCs/>
                          <w:sz w:val="32"/>
                          <w:szCs w:val="32"/>
                          <w:lang w:val="hr-HR"/>
                        </w:rPr>
                      </w:pPr>
                    </w:p>
                    <w:p w14:paraId="49FD284D" w14:textId="77777777" w:rsidR="002118EE" w:rsidRPr="009C1CEE" w:rsidRDefault="002118EE" w:rsidP="00375117">
                      <w:pPr>
                        <w:pStyle w:val="Bezproreda4"/>
                        <w:jc w:val="center"/>
                        <w:rPr>
                          <w:rFonts w:ascii="Bookman Old Style" w:hAnsi="Bookman Old Style" w:cs="Bookman Old Style"/>
                          <w:b/>
                          <w:bCs/>
                          <w:i/>
                          <w:iCs/>
                          <w:sz w:val="32"/>
                          <w:szCs w:val="32"/>
                          <w:lang w:val="hr-HR"/>
                        </w:rPr>
                      </w:pPr>
                    </w:p>
                    <w:p w14:paraId="0FFFE72B" w14:textId="77777777" w:rsidR="002118EE" w:rsidRPr="009C1CEE" w:rsidRDefault="002118EE" w:rsidP="00375117">
                      <w:pPr>
                        <w:pStyle w:val="Bezproreda4"/>
                        <w:jc w:val="center"/>
                        <w:rPr>
                          <w:rFonts w:ascii="Bookman Old Style" w:hAnsi="Bookman Old Style" w:cs="Bookman Old Style"/>
                          <w:b/>
                          <w:bCs/>
                          <w:i/>
                          <w:iCs/>
                          <w:sz w:val="32"/>
                          <w:szCs w:val="32"/>
                          <w:lang w:val="hr-HR"/>
                        </w:rPr>
                      </w:pPr>
                    </w:p>
                    <w:p w14:paraId="67542440" w14:textId="77777777" w:rsidR="002118EE" w:rsidRPr="009C1CEE" w:rsidRDefault="002118EE" w:rsidP="00375117"/>
                    <w:p w14:paraId="21FF9DF8" w14:textId="77777777" w:rsidR="002118EE" w:rsidRPr="009C1CEE" w:rsidRDefault="002118EE" w:rsidP="00375117"/>
                    <w:p w14:paraId="665BEA17" w14:textId="77777777" w:rsidR="002118EE" w:rsidRDefault="002118EE" w:rsidP="00375117">
                      <w:pPr>
                        <w:pStyle w:val="Bezproreda4"/>
                        <w:jc w:val="center"/>
                        <w:rPr>
                          <w:rFonts w:ascii="Arial" w:hAnsi="Arial" w:cs="Arial"/>
                          <w:b/>
                          <w:bCs/>
                          <w:i/>
                          <w:iCs/>
                          <w:sz w:val="40"/>
                          <w:szCs w:val="38"/>
                          <w:lang w:val="hr-HR"/>
                        </w:rPr>
                      </w:pPr>
                    </w:p>
                    <w:p w14:paraId="6F305AA1" w14:textId="77777777" w:rsidR="002118EE" w:rsidRDefault="002118EE" w:rsidP="00375117">
                      <w:pPr>
                        <w:pStyle w:val="Bezproreda4"/>
                        <w:jc w:val="center"/>
                        <w:rPr>
                          <w:color w:val="FFFFFF"/>
                          <w:lang w:val="hr-HR"/>
                        </w:rPr>
                      </w:pPr>
                    </w:p>
                    <w:p w14:paraId="2D11D05F" w14:textId="77777777" w:rsidR="002118EE" w:rsidRDefault="002118EE" w:rsidP="00375117">
                      <w:pPr>
                        <w:pStyle w:val="Bezproreda4"/>
                        <w:jc w:val="center"/>
                        <w:rPr>
                          <w:color w:val="FFFFFF"/>
                          <w:lang w:val="hr-HR"/>
                        </w:rPr>
                      </w:pPr>
                    </w:p>
                    <w:p w14:paraId="1F7385FC" w14:textId="77777777" w:rsidR="002118EE" w:rsidRDefault="002118EE" w:rsidP="00375117">
                      <w:pPr>
                        <w:pStyle w:val="Bezproreda4"/>
                        <w:jc w:val="center"/>
                        <w:rPr>
                          <w:color w:val="FFFFFF"/>
                          <w:lang w:val="hr-HR"/>
                        </w:rPr>
                      </w:pPr>
                    </w:p>
                    <w:p w14:paraId="2DE7D43D" w14:textId="77777777" w:rsidR="002118EE" w:rsidRDefault="002118EE" w:rsidP="00375117">
                      <w:pPr>
                        <w:pStyle w:val="Bezproreda4"/>
                        <w:jc w:val="center"/>
                        <w:rPr>
                          <w:color w:val="FFFFFF"/>
                          <w:lang w:val="hr-HR"/>
                        </w:rPr>
                      </w:pPr>
                    </w:p>
                    <w:p w14:paraId="31C5EAC6" w14:textId="77777777" w:rsidR="002118EE" w:rsidRDefault="002118EE" w:rsidP="00375117">
                      <w:pPr>
                        <w:pStyle w:val="Bezproreda4"/>
                        <w:jc w:val="center"/>
                        <w:rPr>
                          <w:color w:val="FFFFFF"/>
                          <w:lang w:val="hr-HR"/>
                        </w:rPr>
                      </w:pPr>
                    </w:p>
                    <w:p w14:paraId="10CC73C4" w14:textId="77777777" w:rsidR="002118EE" w:rsidRDefault="002118EE" w:rsidP="00375117">
                      <w:pPr>
                        <w:pStyle w:val="Bezproreda4"/>
                        <w:jc w:val="center"/>
                        <w:rPr>
                          <w:color w:val="FFFFFF"/>
                          <w:lang w:val="hr-HR"/>
                        </w:rPr>
                      </w:pPr>
                    </w:p>
                    <w:p w14:paraId="0E81E4C6" w14:textId="77777777" w:rsidR="002118EE" w:rsidRDefault="002118EE" w:rsidP="00375117">
                      <w:pPr>
                        <w:pStyle w:val="Bezproreda4"/>
                        <w:jc w:val="center"/>
                        <w:rPr>
                          <w:color w:val="FFFFFF"/>
                          <w:lang w:val="hr-HR"/>
                        </w:rPr>
                      </w:pPr>
                    </w:p>
                    <w:p w14:paraId="283226BF" w14:textId="77777777" w:rsidR="002118EE" w:rsidRDefault="002118EE" w:rsidP="00375117">
                      <w:pPr>
                        <w:pStyle w:val="Bezproreda4"/>
                        <w:jc w:val="center"/>
                        <w:rPr>
                          <w:color w:val="FFFFFF"/>
                          <w:lang w:val="hr-HR"/>
                        </w:rPr>
                      </w:pPr>
                    </w:p>
                    <w:p w14:paraId="27052450" w14:textId="77777777" w:rsidR="002118EE" w:rsidRDefault="002118EE" w:rsidP="00375117">
                      <w:pPr>
                        <w:pStyle w:val="Bezproreda4"/>
                        <w:jc w:val="center"/>
                        <w:rPr>
                          <w:color w:val="FFFFFF"/>
                          <w:lang w:val="hr-HR"/>
                        </w:rPr>
                      </w:pPr>
                    </w:p>
                    <w:p w14:paraId="0B4ECA03" w14:textId="77777777" w:rsidR="002118EE" w:rsidRDefault="002118EE" w:rsidP="00375117">
                      <w:pPr>
                        <w:pStyle w:val="Bezproreda4"/>
                        <w:jc w:val="center"/>
                        <w:rPr>
                          <w:color w:val="FFFFFF"/>
                          <w:lang w:val="hr-HR"/>
                        </w:rPr>
                      </w:pPr>
                    </w:p>
                    <w:p w14:paraId="68A88A5D" w14:textId="77777777" w:rsidR="002118EE" w:rsidRDefault="002118EE" w:rsidP="00375117">
                      <w:pPr>
                        <w:pStyle w:val="Bezproreda4"/>
                        <w:jc w:val="center"/>
                        <w:rPr>
                          <w:color w:val="FFFFFF"/>
                          <w:lang w:val="hr-HR"/>
                        </w:rPr>
                      </w:pPr>
                    </w:p>
                    <w:p w14:paraId="24D0F13F" w14:textId="77777777" w:rsidR="002118EE" w:rsidRDefault="002118EE" w:rsidP="00375117">
                      <w:pPr>
                        <w:pStyle w:val="Bezproreda4"/>
                        <w:jc w:val="center"/>
                        <w:rPr>
                          <w:color w:val="FFFFFF"/>
                          <w:lang w:val="hr-HR"/>
                        </w:rPr>
                      </w:pPr>
                    </w:p>
                    <w:p w14:paraId="7EC3C118" w14:textId="77777777" w:rsidR="002118EE" w:rsidRDefault="002118EE" w:rsidP="00375117">
                      <w:pPr>
                        <w:pStyle w:val="Bezproreda4"/>
                        <w:jc w:val="center"/>
                        <w:rPr>
                          <w:color w:val="FFFFFF"/>
                          <w:lang w:val="hr-HR"/>
                        </w:rPr>
                      </w:pPr>
                    </w:p>
                    <w:p w14:paraId="36D3B34D" w14:textId="77777777" w:rsidR="002118EE" w:rsidRDefault="002118EE" w:rsidP="00375117">
                      <w:pPr>
                        <w:pStyle w:val="Bezproreda4"/>
                        <w:jc w:val="center"/>
                        <w:rPr>
                          <w:color w:val="FFFFFF"/>
                          <w:lang w:val="hr-HR"/>
                        </w:rPr>
                      </w:pPr>
                    </w:p>
                    <w:p w14:paraId="729254EE" w14:textId="77777777" w:rsidR="002118EE" w:rsidRDefault="002118EE" w:rsidP="00375117">
                      <w:pPr>
                        <w:pStyle w:val="Bezproreda4"/>
                        <w:jc w:val="center"/>
                        <w:rPr>
                          <w:color w:val="FFFFFF"/>
                          <w:lang w:val="hr-HR"/>
                        </w:rPr>
                      </w:pPr>
                    </w:p>
                    <w:p w14:paraId="72D124FF" w14:textId="77777777" w:rsidR="002118EE" w:rsidRDefault="002118EE" w:rsidP="00375117">
                      <w:pPr>
                        <w:pStyle w:val="Bezproreda4"/>
                        <w:jc w:val="center"/>
                        <w:rPr>
                          <w:color w:val="FFFFFF"/>
                          <w:lang w:val="hr-HR"/>
                        </w:rPr>
                      </w:pPr>
                    </w:p>
                    <w:p w14:paraId="5C853243" w14:textId="77777777" w:rsidR="002118EE" w:rsidRDefault="002118EE" w:rsidP="00375117">
                      <w:pPr>
                        <w:pStyle w:val="Bezproreda4"/>
                        <w:jc w:val="center"/>
                        <w:rPr>
                          <w:color w:val="FFFFFF"/>
                          <w:lang w:val="hr-HR"/>
                        </w:rPr>
                      </w:pPr>
                    </w:p>
                    <w:p w14:paraId="7CE61645" w14:textId="77777777" w:rsidR="002118EE" w:rsidRDefault="002118EE" w:rsidP="00375117">
                      <w:pPr>
                        <w:pStyle w:val="Bezproreda4"/>
                        <w:jc w:val="center"/>
                        <w:rPr>
                          <w:color w:val="FFFFFF"/>
                          <w:lang w:val="hr-HR"/>
                        </w:rPr>
                      </w:pPr>
                    </w:p>
                    <w:p w14:paraId="21F13E6B" w14:textId="77777777" w:rsidR="002118EE" w:rsidRDefault="002118EE" w:rsidP="00375117">
                      <w:pPr>
                        <w:pStyle w:val="Bezproreda4"/>
                        <w:jc w:val="center"/>
                        <w:rPr>
                          <w:color w:val="FFFFFF"/>
                          <w:lang w:val="hr-HR"/>
                        </w:rPr>
                      </w:pPr>
                    </w:p>
                    <w:p w14:paraId="3EF45155" w14:textId="77777777" w:rsidR="002118EE" w:rsidRDefault="002118EE" w:rsidP="00375117">
                      <w:pPr>
                        <w:pStyle w:val="Bezproreda4"/>
                        <w:jc w:val="center"/>
                        <w:rPr>
                          <w:color w:val="FFFFFF"/>
                          <w:lang w:val="hr-HR"/>
                        </w:rPr>
                      </w:pPr>
                    </w:p>
                    <w:p w14:paraId="3DE10824" w14:textId="77777777" w:rsidR="002118EE" w:rsidRDefault="002118EE" w:rsidP="00375117">
                      <w:pPr>
                        <w:pStyle w:val="Bezproreda4"/>
                        <w:jc w:val="center"/>
                        <w:rPr>
                          <w:color w:val="FFFFFF"/>
                          <w:lang w:val="hr-HR"/>
                        </w:rPr>
                      </w:pPr>
                    </w:p>
                  </w:txbxContent>
                </v:textbox>
              </v:rect>
            </w:pict>
          </mc:Fallback>
        </mc:AlternateContent>
      </w:r>
    </w:p>
    <w:p w14:paraId="09BD0B02" w14:textId="77777777" w:rsidR="00375117" w:rsidRDefault="00375117" w:rsidP="00375117">
      <w:pPr>
        <w:rPr>
          <w:rFonts w:ascii="Times New Roman" w:eastAsia="Calibri" w:hAnsi="Times New Roman" w:cs="Times New Roman"/>
          <w:iCs/>
          <w:sz w:val="24"/>
          <w:szCs w:val="24"/>
          <w:lang w:eastAsia="hr-HR"/>
        </w:rPr>
      </w:pPr>
    </w:p>
    <w:sdt>
      <w:sdtPr>
        <w:rPr>
          <w:rFonts w:asciiTheme="minorHAnsi" w:eastAsiaTheme="minorHAnsi" w:hAnsiTheme="minorHAnsi" w:cstheme="minorBidi"/>
          <w:color w:val="auto"/>
          <w:sz w:val="22"/>
          <w:szCs w:val="22"/>
          <w:lang w:eastAsia="en-US"/>
        </w:rPr>
        <w:id w:val="-2049827003"/>
        <w:docPartObj>
          <w:docPartGallery w:val="Table of Contents"/>
          <w:docPartUnique/>
        </w:docPartObj>
      </w:sdtPr>
      <w:sdtEndPr>
        <w:rPr>
          <w:rFonts w:ascii="Times New Roman" w:hAnsi="Times New Roman" w:cs="Times New Roman"/>
          <w:b/>
          <w:bCs/>
          <w:i/>
          <w:sz w:val="24"/>
          <w:szCs w:val="24"/>
        </w:rPr>
      </w:sdtEndPr>
      <w:sdtContent>
        <w:p w14:paraId="42A949E1" w14:textId="108E6C9D" w:rsidR="00BE5ABC" w:rsidRPr="008154A4" w:rsidRDefault="00BE5ABC">
          <w:pPr>
            <w:pStyle w:val="TOCNaslov"/>
            <w:rPr>
              <w:rFonts w:ascii="Times New Roman" w:hAnsi="Times New Roman" w:cs="Times New Roman"/>
              <w:sz w:val="24"/>
              <w:szCs w:val="24"/>
            </w:rPr>
          </w:pPr>
          <w:r w:rsidRPr="008154A4">
            <w:rPr>
              <w:rFonts w:ascii="Times New Roman" w:hAnsi="Times New Roman" w:cs="Times New Roman"/>
              <w:sz w:val="24"/>
              <w:szCs w:val="24"/>
            </w:rPr>
            <w:t>Sadržaj</w:t>
          </w:r>
        </w:p>
        <w:p w14:paraId="79F38B8B" w14:textId="1D029704" w:rsidR="009641B8" w:rsidRPr="008154A4" w:rsidRDefault="00BE5ABC">
          <w:pPr>
            <w:pStyle w:val="Sadraj2"/>
            <w:tabs>
              <w:tab w:val="left" w:pos="660"/>
              <w:tab w:val="right" w:leader="dot" w:pos="9016"/>
            </w:tabs>
            <w:rPr>
              <w:rFonts w:ascii="Times New Roman" w:eastAsiaTheme="minorEastAsia" w:hAnsi="Times New Roman" w:cs="Times New Roman"/>
              <w:smallCaps w:val="0"/>
              <w:noProof/>
              <w:sz w:val="24"/>
              <w:szCs w:val="24"/>
              <w:lang w:eastAsia="hr-HR"/>
            </w:rPr>
          </w:pPr>
          <w:r w:rsidRPr="008154A4">
            <w:rPr>
              <w:rFonts w:ascii="Times New Roman" w:hAnsi="Times New Roman" w:cs="Times New Roman"/>
              <w:sz w:val="24"/>
              <w:szCs w:val="24"/>
            </w:rPr>
            <w:fldChar w:fldCharType="begin"/>
          </w:r>
          <w:r w:rsidRPr="008154A4">
            <w:rPr>
              <w:rFonts w:ascii="Times New Roman" w:hAnsi="Times New Roman" w:cs="Times New Roman"/>
              <w:sz w:val="24"/>
              <w:szCs w:val="24"/>
            </w:rPr>
            <w:instrText xml:space="preserve"> TOC \o "1-3" \h \z \u </w:instrText>
          </w:r>
          <w:r w:rsidRPr="008154A4">
            <w:rPr>
              <w:rFonts w:ascii="Times New Roman" w:hAnsi="Times New Roman" w:cs="Times New Roman"/>
              <w:sz w:val="24"/>
              <w:szCs w:val="24"/>
            </w:rPr>
            <w:fldChar w:fldCharType="separate"/>
          </w:r>
          <w:hyperlink w:anchor="_Toc153353416" w:history="1">
            <w:r w:rsidR="009641B8" w:rsidRPr="008154A4">
              <w:rPr>
                <w:rStyle w:val="Hiperveza"/>
                <w:rFonts w:ascii="Times New Roman" w:hAnsi="Times New Roman" w:cs="Times New Roman"/>
                <w:noProof/>
                <w:sz w:val="24"/>
                <w:szCs w:val="24"/>
              </w:rPr>
              <w:t>1.</w:t>
            </w:r>
            <w:r w:rsidR="009641B8" w:rsidRPr="008154A4">
              <w:rPr>
                <w:rFonts w:ascii="Times New Roman" w:eastAsiaTheme="minorEastAsia" w:hAnsi="Times New Roman" w:cs="Times New Roman"/>
                <w:smallCaps w:val="0"/>
                <w:noProof/>
                <w:sz w:val="24"/>
                <w:szCs w:val="24"/>
                <w:lang w:eastAsia="hr-HR"/>
              </w:rPr>
              <w:tab/>
            </w:r>
            <w:r w:rsidR="009641B8" w:rsidRPr="008154A4">
              <w:rPr>
                <w:rStyle w:val="Hiperveza"/>
                <w:rFonts w:ascii="Times New Roman" w:hAnsi="Times New Roman" w:cs="Times New Roman"/>
                <w:noProof/>
                <w:sz w:val="24"/>
                <w:szCs w:val="24"/>
              </w:rPr>
              <w:t>SUSTAV SPRJEČAVANJA PRANJA NOVCA I FINANCIRANJA TERORIZMA U REPUBLICI HRVATSKOJ</w:t>
            </w:r>
            <w:r w:rsidR="009641B8" w:rsidRPr="008154A4">
              <w:rPr>
                <w:rFonts w:ascii="Times New Roman" w:hAnsi="Times New Roman" w:cs="Times New Roman"/>
                <w:noProof/>
                <w:webHidden/>
                <w:sz w:val="24"/>
                <w:szCs w:val="24"/>
              </w:rPr>
              <w:tab/>
            </w:r>
            <w:r w:rsidR="009641B8" w:rsidRPr="008154A4">
              <w:rPr>
                <w:rFonts w:ascii="Times New Roman" w:hAnsi="Times New Roman" w:cs="Times New Roman"/>
                <w:noProof/>
                <w:webHidden/>
                <w:sz w:val="24"/>
                <w:szCs w:val="24"/>
              </w:rPr>
              <w:fldChar w:fldCharType="begin"/>
            </w:r>
            <w:r w:rsidR="009641B8" w:rsidRPr="008154A4">
              <w:rPr>
                <w:rFonts w:ascii="Times New Roman" w:hAnsi="Times New Roman" w:cs="Times New Roman"/>
                <w:noProof/>
                <w:webHidden/>
                <w:sz w:val="24"/>
                <w:szCs w:val="24"/>
              </w:rPr>
              <w:instrText xml:space="preserve"> PAGEREF _Toc153353416 \h </w:instrText>
            </w:r>
            <w:r w:rsidR="009641B8" w:rsidRPr="008154A4">
              <w:rPr>
                <w:rFonts w:ascii="Times New Roman" w:hAnsi="Times New Roman" w:cs="Times New Roman"/>
                <w:noProof/>
                <w:webHidden/>
                <w:sz w:val="24"/>
                <w:szCs w:val="24"/>
              </w:rPr>
            </w:r>
            <w:r w:rsidR="009641B8" w:rsidRPr="008154A4">
              <w:rPr>
                <w:rFonts w:ascii="Times New Roman" w:hAnsi="Times New Roman" w:cs="Times New Roman"/>
                <w:noProof/>
                <w:webHidden/>
                <w:sz w:val="24"/>
                <w:szCs w:val="24"/>
              </w:rPr>
              <w:fldChar w:fldCharType="separate"/>
            </w:r>
            <w:r w:rsidR="008935FE">
              <w:rPr>
                <w:rFonts w:ascii="Times New Roman" w:hAnsi="Times New Roman" w:cs="Times New Roman"/>
                <w:noProof/>
                <w:webHidden/>
                <w:sz w:val="24"/>
                <w:szCs w:val="24"/>
              </w:rPr>
              <w:t>3</w:t>
            </w:r>
            <w:r w:rsidR="009641B8" w:rsidRPr="008154A4">
              <w:rPr>
                <w:rFonts w:ascii="Times New Roman" w:hAnsi="Times New Roman" w:cs="Times New Roman"/>
                <w:noProof/>
                <w:webHidden/>
                <w:sz w:val="24"/>
                <w:szCs w:val="24"/>
              </w:rPr>
              <w:fldChar w:fldCharType="end"/>
            </w:r>
          </w:hyperlink>
        </w:p>
        <w:p w14:paraId="0F3D44F1" w14:textId="42B3BCEB" w:rsidR="009641B8" w:rsidRPr="008154A4" w:rsidRDefault="00FE741D">
          <w:pPr>
            <w:pStyle w:val="Sadraj3"/>
            <w:tabs>
              <w:tab w:val="left" w:pos="1100"/>
              <w:tab w:val="right" w:leader="dot" w:pos="9016"/>
            </w:tabs>
            <w:rPr>
              <w:rFonts w:ascii="Times New Roman" w:eastAsiaTheme="minorEastAsia" w:hAnsi="Times New Roman" w:cs="Times New Roman"/>
              <w:i w:val="0"/>
              <w:iCs w:val="0"/>
              <w:noProof/>
              <w:sz w:val="24"/>
              <w:szCs w:val="24"/>
              <w:lang w:eastAsia="hr-HR"/>
            </w:rPr>
          </w:pPr>
          <w:hyperlink w:anchor="_Toc153353417" w:history="1">
            <w:r w:rsidR="009641B8" w:rsidRPr="008154A4">
              <w:rPr>
                <w:rStyle w:val="Hiperveza"/>
                <w:rFonts w:ascii="Times New Roman" w:hAnsi="Times New Roman" w:cs="Times New Roman"/>
                <w:i w:val="0"/>
                <w:noProof/>
                <w:sz w:val="24"/>
                <w:szCs w:val="24"/>
              </w:rPr>
              <w:t>1.1.</w:t>
            </w:r>
            <w:r w:rsidR="009641B8" w:rsidRPr="008154A4">
              <w:rPr>
                <w:rFonts w:ascii="Times New Roman" w:eastAsiaTheme="minorEastAsia" w:hAnsi="Times New Roman" w:cs="Times New Roman"/>
                <w:i w:val="0"/>
                <w:iCs w:val="0"/>
                <w:noProof/>
                <w:sz w:val="24"/>
                <w:szCs w:val="24"/>
                <w:lang w:eastAsia="hr-HR"/>
              </w:rPr>
              <w:tab/>
            </w:r>
            <w:r w:rsidR="009641B8" w:rsidRPr="008154A4">
              <w:rPr>
                <w:rStyle w:val="Hiperveza"/>
                <w:rFonts w:ascii="Times New Roman" w:hAnsi="Times New Roman" w:cs="Times New Roman"/>
                <w:i w:val="0"/>
                <w:noProof/>
                <w:sz w:val="24"/>
                <w:szCs w:val="24"/>
              </w:rPr>
              <w:t>Uloga i zadaće Ureda za sprječavanje pranja novca</w:t>
            </w:r>
            <w:r w:rsidR="009641B8" w:rsidRPr="008154A4">
              <w:rPr>
                <w:rFonts w:ascii="Times New Roman" w:hAnsi="Times New Roman" w:cs="Times New Roman"/>
                <w:i w:val="0"/>
                <w:noProof/>
                <w:webHidden/>
                <w:sz w:val="24"/>
                <w:szCs w:val="24"/>
              </w:rPr>
              <w:tab/>
            </w:r>
            <w:r w:rsidR="009641B8" w:rsidRPr="008154A4">
              <w:rPr>
                <w:rFonts w:ascii="Times New Roman" w:hAnsi="Times New Roman" w:cs="Times New Roman"/>
                <w:i w:val="0"/>
                <w:noProof/>
                <w:webHidden/>
                <w:sz w:val="24"/>
                <w:szCs w:val="24"/>
              </w:rPr>
              <w:fldChar w:fldCharType="begin"/>
            </w:r>
            <w:r w:rsidR="009641B8" w:rsidRPr="008154A4">
              <w:rPr>
                <w:rFonts w:ascii="Times New Roman" w:hAnsi="Times New Roman" w:cs="Times New Roman"/>
                <w:i w:val="0"/>
                <w:noProof/>
                <w:webHidden/>
                <w:sz w:val="24"/>
                <w:szCs w:val="24"/>
              </w:rPr>
              <w:instrText xml:space="preserve"> PAGEREF _Toc153353417 \h </w:instrText>
            </w:r>
            <w:r w:rsidR="009641B8" w:rsidRPr="008154A4">
              <w:rPr>
                <w:rFonts w:ascii="Times New Roman" w:hAnsi="Times New Roman" w:cs="Times New Roman"/>
                <w:i w:val="0"/>
                <w:noProof/>
                <w:webHidden/>
                <w:sz w:val="24"/>
                <w:szCs w:val="24"/>
              </w:rPr>
            </w:r>
            <w:r w:rsidR="009641B8" w:rsidRPr="008154A4">
              <w:rPr>
                <w:rFonts w:ascii="Times New Roman" w:hAnsi="Times New Roman" w:cs="Times New Roman"/>
                <w:i w:val="0"/>
                <w:noProof/>
                <w:webHidden/>
                <w:sz w:val="24"/>
                <w:szCs w:val="24"/>
              </w:rPr>
              <w:fldChar w:fldCharType="separate"/>
            </w:r>
            <w:r w:rsidR="008935FE">
              <w:rPr>
                <w:rFonts w:ascii="Times New Roman" w:hAnsi="Times New Roman" w:cs="Times New Roman"/>
                <w:i w:val="0"/>
                <w:noProof/>
                <w:webHidden/>
                <w:sz w:val="24"/>
                <w:szCs w:val="24"/>
              </w:rPr>
              <w:t>6</w:t>
            </w:r>
            <w:r w:rsidR="009641B8" w:rsidRPr="008154A4">
              <w:rPr>
                <w:rFonts w:ascii="Times New Roman" w:hAnsi="Times New Roman" w:cs="Times New Roman"/>
                <w:i w:val="0"/>
                <w:noProof/>
                <w:webHidden/>
                <w:sz w:val="24"/>
                <w:szCs w:val="24"/>
              </w:rPr>
              <w:fldChar w:fldCharType="end"/>
            </w:r>
          </w:hyperlink>
        </w:p>
        <w:p w14:paraId="3C8A8554" w14:textId="701EB344" w:rsidR="009641B8" w:rsidRPr="008154A4" w:rsidRDefault="00FE741D">
          <w:pPr>
            <w:pStyle w:val="Sadraj2"/>
            <w:tabs>
              <w:tab w:val="left" w:pos="660"/>
              <w:tab w:val="right" w:leader="dot" w:pos="9016"/>
            </w:tabs>
            <w:rPr>
              <w:rFonts w:ascii="Times New Roman" w:eastAsiaTheme="minorEastAsia" w:hAnsi="Times New Roman" w:cs="Times New Roman"/>
              <w:smallCaps w:val="0"/>
              <w:noProof/>
              <w:sz w:val="24"/>
              <w:szCs w:val="24"/>
              <w:lang w:eastAsia="hr-HR"/>
            </w:rPr>
          </w:pPr>
          <w:hyperlink w:anchor="_Toc153353418" w:history="1">
            <w:r w:rsidR="009641B8" w:rsidRPr="008154A4">
              <w:rPr>
                <w:rStyle w:val="Hiperveza"/>
                <w:rFonts w:ascii="Times New Roman" w:hAnsi="Times New Roman" w:cs="Times New Roman"/>
                <w:noProof/>
                <w:sz w:val="24"/>
                <w:szCs w:val="24"/>
              </w:rPr>
              <w:t>2.</w:t>
            </w:r>
            <w:r w:rsidR="009641B8" w:rsidRPr="008154A4">
              <w:rPr>
                <w:rFonts w:ascii="Times New Roman" w:eastAsiaTheme="minorEastAsia" w:hAnsi="Times New Roman" w:cs="Times New Roman"/>
                <w:smallCaps w:val="0"/>
                <w:noProof/>
                <w:sz w:val="24"/>
                <w:szCs w:val="24"/>
                <w:lang w:eastAsia="hr-HR"/>
              </w:rPr>
              <w:tab/>
            </w:r>
            <w:r w:rsidR="009641B8" w:rsidRPr="008154A4">
              <w:rPr>
                <w:rStyle w:val="Hiperveza"/>
                <w:rFonts w:ascii="Times New Roman" w:hAnsi="Times New Roman" w:cs="Times New Roman"/>
                <w:noProof/>
                <w:sz w:val="24"/>
                <w:szCs w:val="24"/>
              </w:rPr>
              <w:t>ANALITIČKO-OBAVJEŠTAJNI RAD UREDA</w:t>
            </w:r>
            <w:r w:rsidR="009641B8" w:rsidRPr="008154A4">
              <w:rPr>
                <w:rFonts w:ascii="Times New Roman" w:hAnsi="Times New Roman" w:cs="Times New Roman"/>
                <w:noProof/>
                <w:webHidden/>
                <w:sz w:val="24"/>
                <w:szCs w:val="24"/>
              </w:rPr>
              <w:tab/>
            </w:r>
            <w:r w:rsidR="009641B8" w:rsidRPr="008154A4">
              <w:rPr>
                <w:rFonts w:ascii="Times New Roman" w:hAnsi="Times New Roman" w:cs="Times New Roman"/>
                <w:noProof/>
                <w:webHidden/>
                <w:sz w:val="24"/>
                <w:szCs w:val="24"/>
              </w:rPr>
              <w:fldChar w:fldCharType="begin"/>
            </w:r>
            <w:r w:rsidR="009641B8" w:rsidRPr="008154A4">
              <w:rPr>
                <w:rFonts w:ascii="Times New Roman" w:hAnsi="Times New Roman" w:cs="Times New Roman"/>
                <w:noProof/>
                <w:webHidden/>
                <w:sz w:val="24"/>
                <w:szCs w:val="24"/>
              </w:rPr>
              <w:instrText xml:space="preserve"> PAGEREF _Toc153353418 \h </w:instrText>
            </w:r>
            <w:r w:rsidR="009641B8" w:rsidRPr="008154A4">
              <w:rPr>
                <w:rFonts w:ascii="Times New Roman" w:hAnsi="Times New Roman" w:cs="Times New Roman"/>
                <w:noProof/>
                <w:webHidden/>
                <w:sz w:val="24"/>
                <w:szCs w:val="24"/>
              </w:rPr>
            </w:r>
            <w:r w:rsidR="009641B8" w:rsidRPr="008154A4">
              <w:rPr>
                <w:rFonts w:ascii="Times New Roman" w:hAnsi="Times New Roman" w:cs="Times New Roman"/>
                <w:noProof/>
                <w:webHidden/>
                <w:sz w:val="24"/>
                <w:szCs w:val="24"/>
              </w:rPr>
              <w:fldChar w:fldCharType="separate"/>
            </w:r>
            <w:r w:rsidR="008935FE">
              <w:rPr>
                <w:rFonts w:ascii="Times New Roman" w:hAnsi="Times New Roman" w:cs="Times New Roman"/>
                <w:noProof/>
                <w:webHidden/>
                <w:sz w:val="24"/>
                <w:szCs w:val="24"/>
              </w:rPr>
              <w:t>9</w:t>
            </w:r>
            <w:r w:rsidR="009641B8" w:rsidRPr="008154A4">
              <w:rPr>
                <w:rFonts w:ascii="Times New Roman" w:hAnsi="Times New Roman" w:cs="Times New Roman"/>
                <w:noProof/>
                <w:webHidden/>
                <w:sz w:val="24"/>
                <w:szCs w:val="24"/>
              </w:rPr>
              <w:fldChar w:fldCharType="end"/>
            </w:r>
          </w:hyperlink>
        </w:p>
        <w:p w14:paraId="2929AEB3" w14:textId="1F6E5A1A" w:rsidR="009641B8" w:rsidRPr="008154A4" w:rsidRDefault="00FE741D">
          <w:pPr>
            <w:pStyle w:val="Sadraj3"/>
            <w:tabs>
              <w:tab w:val="left" w:pos="1100"/>
              <w:tab w:val="right" w:leader="dot" w:pos="9016"/>
            </w:tabs>
            <w:rPr>
              <w:rFonts w:ascii="Times New Roman" w:eastAsiaTheme="minorEastAsia" w:hAnsi="Times New Roman" w:cs="Times New Roman"/>
              <w:i w:val="0"/>
              <w:iCs w:val="0"/>
              <w:noProof/>
              <w:sz w:val="24"/>
              <w:szCs w:val="24"/>
              <w:lang w:eastAsia="hr-HR"/>
            </w:rPr>
          </w:pPr>
          <w:hyperlink w:anchor="_Toc153353419" w:history="1">
            <w:r w:rsidR="009641B8" w:rsidRPr="008154A4">
              <w:rPr>
                <w:rStyle w:val="Hiperveza"/>
                <w:rFonts w:ascii="Times New Roman" w:hAnsi="Times New Roman" w:cs="Times New Roman"/>
                <w:i w:val="0"/>
                <w:noProof/>
                <w:sz w:val="24"/>
                <w:szCs w:val="24"/>
              </w:rPr>
              <w:t>2.1.</w:t>
            </w:r>
            <w:r w:rsidR="009641B8" w:rsidRPr="008154A4">
              <w:rPr>
                <w:rFonts w:ascii="Times New Roman" w:eastAsiaTheme="minorEastAsia" w:hAnsi="Times New Roman" w:cs="Times New Roman"/>
                <w:i w:val="0"/>
                <w:iCs w:val="0"/>
                <w:noProof/>
                <w:sz w:val="24"/>
                <w:szCs w:val="24"/>
                <w:lang w:eastAsia="hr-HR"/>
              </w:rPr>
              <w:tab/>
            </w:r>
            <w:r w:rsidR="009641B8" w:rsidRPr="008154A4">
              <w:rPr>
                <w:rStyle w:val="Hiperveza"/>
                <w:rFonts w:ascii="Times New Roman" w:hAnsi="Times New Roman" w:cs="Times New Roman"/>
                <w:i w:val="0"/>
                <w:noProof/>
                <w:sz w:val="24"/>
                <w:szCs w:val="24"/>
              </w:rPr>
              <w:t>Ključni pokazatelji o analitičko obavještajnom radu Ureda</w:t>
            </w:r>
            <w:r w:rsidR="009641B8" w:rsidRPr="008154A4">
              <w:rPr>
                <w:rFonts w:ascii="Times New Roman" w:hAnsi="Times New Roman" w:cs="Times New Roman"/>
                <w:i w:val="0"/>
                <w:noProof/>
                <w:webHidden/>
                <w:sz w:val="24"/>
                <w:szCs w:val="24"/>
              </w:rPr>
              <w:tab/>
            </w:r>
            <w:r w:rsidR="009641B8" w:rsidRPr="008154A4">
              <w:rPr>
                <w:rFonts w:ascii="Times New Roman" w:hAnsi="Times New Roman" w:cs="Times New Roman"/>
                <w:i w:val="0"/>
                <w:noProof/>
                <w:webHidden/>
                <w:sz w:val="24"/>
                <w:szCs w:val="24"/>
              </w:rPr>
              <w:fldChar w:fldCharType="begin"/>
            </w:r>
            <w:r w:rsidR="009641B8" w:rsidRPr="008154A4">
              <w:rPr>
                <w:rFonts w:ascii="Times New Roman" w:hAnsi="Times New Roman" w:cs="Times New Roman"/>
                <w:i w:val="0"/>
                <w:noProof/>
                <w:webHidden/>
                <w:sz w:val="24"/>
                <w:szCs w:val="24"/>
              </w:rPr>
              <w:instrText xml:space="preserve"> PAGEREF _Toc153353419 \h </w:instrText>
            </w:r>
            <w:r w:rsidR="009641B8" w:rsidRPr="008154A4">
              <w:rPr>
                <w:rFonts w:ascii="Times New Roman" w:hAnsi="Times New Roman" w:cs="Times New Roman"/>
                <w:i w:val="0"/>
                <w:noProof/>
                <w:webHidden/>
                <w:sz w:val="24"/>
                <w:szCs w:val="24"/>
              </w:rPr>
            </w:r>
            <w:r w:rsidR="009641B8" w:rsidRPr="008154A4">
              <w:rPr>
                <w:rFonts w:ascii="Times New Roman" w:hAnsi="Times New Roman" w:cs="Times New Roman"/>
                <w:i w:val="0"/>
                <w:noProof/>
                <w:webHidden/>
                <w:sz w:val="24"/>
                <w:szCs w:val="24"/>
              </w:rPr>
              <w:fldChar w:fldCharType="separate"/>
            </w:r>
            <w:r w:rsidR="008935FE">
              <w:rPr>
                <w:rFonts w:ascii="Times New Roman" w:hAnsi="Times New Roman" w:cs="Times New Roman"/>
                <w:i w:val="0"/>
                <w:noProof/>
                <w:webHidden/>
                <w:sz w:val="24"/>
                <w:szCs w:val="24"/>
              </w:rPr>
              <w:t>10</w:t>
            </w:r>
            <w:r w:rsidR="009641B8" w:rsidRPr="008154A4">
              <w:rPr>
                <w:rFonts w:ascii="Times New Roman" w:hAnsi="Times New Roman" w:cs="Times New Roman"/>
                <w:i w:val="0"/>
                <w:noProof/>
                <w:webHidden/>
                <w:sz w:val="24"/>
                <w:szCs w:val="24"/>
              </w:rPr>
              <w:fldChar w:fldCharType="end"/>
            </w:r>
          </w:hyperlink>
        </w:p>
        <w:p w14:paraId="3F1FD1EF" w14:textId="353116A3" w:rsidR="009641B8" w:rsidRPr="008154A4" w:rsidRDefault="00FE741D">
          <w:pPr>
            <w:pStyle w:val="Sadraj3"/>
            <w:tabs>
              <w:tab w:val="left" w:pos="1100"/>
              <w:tab w:val="right" w:leader="dot" w:pos="9016"/>
            </w:tabs>
            <w:rPr>
              <w:rFonts w:ascii="Times New Roman" w:eastAsiaTheme="minorEastAsia" w:hAnsi="Times New Roman" w:cs="Times New Roman"/>
              <w:i w:val="0"/>
              <w:iCs w:val="0"/>
              <w:noProof/>
              <w:sz w:val="24"/>
              <w:szCs w:val="24"/>
              <w:lang w:eastAsia="hr-HR"/>
            </w:rPr>
          </w:pPr>
          <w:hyperlink w:anchor="_Toc153353420" w:history="1">
            <w:r w:rsidR="009641B8" w:rsidRPr="008154A4">
              <w:rPr>
                <w:rStyle w:val="Hiperveza"/>
                <w:rFonts w:ascii="Times New Roman" w:hAnsi="Times New Roman" w:cs="Times New Roman"/>
                <w:i w:val="0"/>
                <w:noProof/>
                <w:sz w:val="24"/>
                <w:szCs w:val="24"/>
              </w:rPr>
              <w:t>2.2.</w:t>
            </w:r>
            <w:r w:rsidR="009641B8" w:rsidRPr="008154A4">
              <w:rPr>
                <w:rFonts w:ascii="Times New Roman" w:eastAsiaTheme="minorEastAsia" w:hAnsi="Times New Roman" w:cs="Times New Roman"/>
                <w:i w:val="0"/>
                <w:iCs w:val="0"/>
                <w:noProof/>
                <w:sz w:val="24"/>
                <w:szCs w:val="24"/>
                <w:lang w:eastAsia="hr-HR"/>
              </w:rPr>
              <w:tab/>
            </w:r>
            <w:r w:rsidR="009641B8" w:rsidRPr="008154A4">
              <w:rPr>
                <w:rStyle w:val="Hiperveza"/>
                <w:rFonts w:ascii="Times New Roman" w:hAnsi="Times New Roman" w:cs="Times New Roman"/>
                <w:i w:val="0"/>
                <w:noProof/>
                <w:sz w:val="24"/>
                <w:szCs w:val="24"/>
              </w:rPr>
              <w:t>Međunarodna suradnja Ureda</w:t>
            </w:r>
            <w:r w:rsidR="009641B8" w:rsidRPr="008154A4">
              <w:rPr>
                <w:rFonts w:ascii="Times New Roman" w:hAnsi="Times New Roman" w:cs="Times New Roman"/>
                <w:i w:val="0"/>
                <w:noProof/>
                <w:webHidden/>
                <w:sz w:val="24"/>
                <w:szCs w:val="24"/>
              </w:rPr>
              <w:tab/>
            </w:r>
            <w:r w:rsidR="009641B8" w:rsidRPr="008154A4">
              <w:rPr>
                <w:rFonts w:ascii="Times New Roman" w:hAnsi="Times New Roman" w:cs="Times New Roman"/>
                <w:i w:val="0"/>
                <w:noProof/>
                <w:webHidden/>
                <w:sz w:val="24"/>
                <w:szCs w:val="24"/>
              </w:rPr>
              <w:fldChar w:fldCharType="begin"/>
            </w:r>
            <w:r w:rsidR="009641B8" w:rsidRPr="008154A4">
              <w:rPr>
                <w:rFonts w:ascii="Times New Roman" w:hAnsi="Times New Roman" w:cs="Times New Roman"/>
                <w:i w:val="0"/>
                <w:noProof/>
                <w:webHidden/>
                <w:sz w:val="24"/>
                <w:szCs w:val="24"/>
              </w:rPr>
              <w:instrText xml:space="preserve"> PAGEREF _Toc153353420 \h </w:instrText>
            </w:r>
            <w:r w:rsidR="009641B8" w:rsidRPr="008154A4">
              <w:rPr>
                <w:rFonts w:ascii="Times New Roman" w:hAnsi="Times New Roman" w:cs="Times New Roman"/>
                <w:i w:val="0"/>
                <w:noProof/>
                <w:webHidden/>
                <w:sz w:val="24"/>
                <w:szCs w:val="24"/>
              </w:rPr>
            </w:r>
            <w:r w:rsidR="009641B8" w:rsidRPr="008154A4">
              <w:rPr>
                <w:rFonts w:ascii="Times New Roman" w:hAnsi="Times New Roman" w:cs="Times New Roman"/>
                <w:i w:val="0"/>
                <w:noProof/>
                <w:webHidden/>
                <w:sz w:val="24"/>
                <w:szCs w:val="24"/>
              </w:rPr>
              <w:fldChar w:fldCharType="separate"/>
            </w:r>
            <w:r w:rsidR="008935FE">
              <w:rPr>
                <w:rFonts w:ascii="Times New Roman" w:hAnsi="Times New Roman" w:cs="Times New Roman"/>
                <w:i w:val="0"/>
                <w:noProof/>
                <w:webHidden/>
                <w:sz w:val="24"/>
                <w:szCs w:val="24"/>
              </w:rPr>
              <w:t>14</w:t>
            </w:r>
            <w:r w:rsidR="009641B8" w:rsidRPr="008154A4">
              <w:rPr>
                <w:rFonts w:ascii="Times New Roman" w:hAnsi="Times New Roman" w:cs="Times New Roman"/>
                <w:i w:val="0"/>
                <w:noProof/>
                <w:webHidden/>
                <w:sz w:val="24"/>
                <w:szCs w:val="24"/>
              </w:rPr>
              <w:fldChar w:fldCharType="end"/>
            </w:r>
          </w:hyperlink>
        </w:p>
        <w:p w14:paraId="42C58D8C" w14:textId="697EEC2E" w:rsidR="009641B8" w:rsidRPr="008154A4" w:rsidRDefault="00FE741D">
          <w:pPr>
            <w:pStyle w:val="Sadraj3"/>
            <w:tabs>
              <w:tab w:val="left" w:pos="1100"/>
              <w:tab w:val="right" w:leader="dot" w:pos="9016"/>
            </w:tabs>
            <w:rPr>
              <w:rFonts w:ascii="Times New Roman" w:eastAsiaTheme="minorEastAsia" w:hAnsi="Times New Roman" w:cs="Times New Roman"/>
              <w:i w:val="0"/>
              <w:iCs w:val="0"/>
              <w:noProof/>
              <w:sz w:val="24"/>
              <w:szCs w:val="24"/>
              <w:lang w:eastAsia="hr-HR"/>
            </w:rPr>
          </w:pPr>
          <w:hyperlink w:anchor="_Toc153353421" w:history="1">
            <w:r w:rsidR="009641B8" w:rsidRPr="008154A4">
              <w:rPr>
                <w:rStyle w:val="Hiperveza"/>
                <w:rFonts w:ascii="Times New Roman" w:hAnsi="Times New Roman" w:cs="Times New Roman"/>
                <w:i w:val="0"/>
                <w:noProof/>
                <w:sz w:val="24"/>
                <w:szCs w:val="24"/>
              </w:rPr>
              <w:t>2.3.</w:t>
            </w:r>
            <w:r w:rsidR="009641B8" w:rsidRPr="008154A4">
              <w:rPr>
                <w:rFonts w:ascii="Times New Roman" w:eastAsiaTheme="minorEastAsia" w:hAnsi="Times New Roman" w:cs="Times New Roman"/>
                <w:i w:val="0"/>
                <w:iCs w:val="0"/>
                <w:noProof/>
                <w:sz w:val="24"/>
                <w:szCs w:val="24"/>
                <w:lang w:eastAsia="hr-HR"/>
              </w:rPr>
              <w:tab/>
            </w:r>
            <w:r w:rsidR="009641B8" w:rsidRPr="008154A4">
              <w:rPr>
                <w:rStyle w:val="Hiperveza"/>
                <w:rFonts w:ascii="Times New Roman" w:hAnsi="Times New Roman" w:cs="Times New Roman"/>
                <w:i w:val="0"/>
                <w:noProof/>
                <w:sz w:val="24"/>
                <w:szCs w:val="24"/>
              </w:rPr>
              <w:t>Primjena specifičnih mjera u analitičko obavještajnom radu Ureda</w:t>
            </w:r>
            <w:r w:rsidR="009641B8" w:rsidRPr="008154A4">
              <w:rPr>
                <w:rFonts w:ascii="Times New Roman" w:hAnsi="Times New Roman" w:cs="Times New Roman"/>
                <w:i w:val="0"/>
                <w:noProof/>
                <w:webHidden/>
                <w:sz w:val="24"/>
                <w:szCs w:val="24"/>
              </w:rPr>
              <w:tab/>
            </w:r>
            <w:r w:rsidR="009641B8" w:rsidRPr="008154A4">
              <w:rPr>
                <w:rFonts w:ascii="Times New Roman" w:hAnsi="Times New Roman" w:cs="Times New Roman"/>
                <w:i w:val="0"/>
                <w:noProof/>
                <w:webHidden/>
                <w:sz w:val="24"/>
                <w:szCs w:val="24"/>
              </w:rPr>
              <w:fldChar w:fldCharType="begin"/>
            </w:r>
            <w:r w:rsidR="009641B8" w:rsidRPr="008154A4">
              <w:rPr>
                <w:rFonts w:ascii="Times New Roman" w:hAnsi="Times New Roman" w:cs="Times New Roman"/>
                <w:i w:val="0"/>
                <w:noProof/>
                <w:webHidden/>
                <w:sz w:val="24"/>
                <w:szCs w:val="24"/>
              </w:rPr>
              <w:instrText xml:space="preserve"> PAGEREF _Toc153353421 \h </w:instrText>
            </w:r>
            <w:r w:rsidR="009641B8" w:rsidRPr="008154A4">
              <w:rPr>
                <w:rFonts w:ascii="Times New Roman" w:hAnsi="Times New Roman" w:cs="Times New Roman"/>
                <w:i w:val="0"/>
                <w:noProof/>
                <w:webHidden/>
                <w:sz w:val="24"/>
                <w:szCs w:val="24"/>
              </w:rPr>
            </w:r>
            <w:r w:rsidR="009641B8" w:rsidRPr="008154A4">
              <w:rPr>
                <w:rFonts w:ascii="Times New Roman" w:hAnsi="Times New Roman" w:cs="Times New Roman"/>
                <w:i w:val="0"/>
                <w:noProof/>
                <w:webHidden/>
                <w:sz w:val="24"/>
                <w:szCs w:val="24"/>
              </w:rPr>
              <w:fldChar w:fldCharType="separate"/>
            </w:r>
            <w:r w:rsidR="008935FE">
              <w:rPr>
                <w:rFonts w:ascii="Times New Roman" w:hAnsi="Times New Roman" w:cs="Times New Roman"/>
                <w:i w:val="0"/>
                <w:noProof/>
                <w:webHidden/>
                <w:sz w:val="24"/>
                <w:szCs w:val="24"/>
              </w:rPr>
              <w:t>17</w:t>
            </w:r>
            <w:r w:rsidR="009641B8" w:rsidRPr="008154A4">
              <w:rPr>
                <w:rFonts w:ascii="Times New Roman" w:hAnsi="Times New Roman" w:cs="Times New Roman"/>
                <w:i w:val="0"/>
                <w:noProof/>
                <w:webHidden/>
                <w:sz w:val="24"/>
                <w:szCs w:val="24"/>
              </w:rPr>
              <w:fldChar w:fldCharType="end"/>
            </w:r>
          </w:hyperlink>
        </w:p>
        <w:p w14:paraId="2FD417E4" w14:textId="0005BB20" w:rsidR="009641B8" w:rsidRPr="008154A4" w:rsidRDefault="00FE741D">
          <w:pPr>
            <w:pStyle w:val="Sadraj3"/>
            <w:tabs>
              <w:tab w:val="left" w:pos="1100"/>
              <w:tab w:val="right" w:leader="dot" w:pos="9016"/>
            </w:tabs>
            <w:rPr>
              <w:rFonts w:ascii="Times New Roman" w:eastAsiaTheme="minorEastAsia" w:hAnsi="Times New Roman" w:cs="Times New Roman"/>
              <w:i w:val="0"/>
              <w:iCs w:val="0"/>
              <w:noProof/>
              <w:sz w:val="24"/>
              <w:szCs w:val="24"/>
              <w:lang w:eastAsia="hr-HR"/>
            </w:rPr>
          </w:pPr>
          <w:hyperlink w:anchor="_Toc153353422" w:history="1">
            <w:r w:rsidR="009641B8" w:rsidRPr="008154A4">
              <w:rPr>
                <w:rStyle w:val="Hiperveza"/>
                <w:rFonts w:ascii="Times New Roman" w:hAnsi="Times New Roman" w:cs="Times New Roman"/>
                <w:i w:val="0"/>
                <w:noProof/>
                <w:sz w:val="24"/>
                <w:szCs w:val="24"/>
              </w:rPr>
              <w:t>2.4.</w:t>
            </w:r>
            <w:r w:rsidR="009641B8" w:rsidRPr="008154A4">
              <w:rPr>
                <w:rFonts w:ascii="Times New Roman" w:eastAsiaTheme="minorEastAsia" w:hAnsi="Times New Roman" w:cs="Times New Roman"/>
                <w:i w:val="0"/>
                <w:iCs w:val="0"/>
                <w:noProof/>
                <w:sz w:val="24"/>
                <w:szCs w:val="24"/>
                <w:lang w:eastAsia="hr-HR"/>
              </w:rPr>
              <w:tab/>
            </w:r>
            <w:r w:rsidR="009641B8" w:rsidRPr="008154A4">
              <w:rPr>
                <w:rStyle w:val="Hiperveza"/>
                <w:rFonts w:ascii="Times New Roman" w:hAnsi="Times New Roman" w:cs="Times New Roman"/>
                <w:i w:val="0"/>
                <w:noProof/>
                <w:sz w:val="24"/>
                <w:szCs w:val="24"/>
              </w:rPr>
              <w:t>Statistički podatci o slučajevima Ureda</w:t>
            </w:r>
            <w:r w:rsidR="009641B8" w:rsidRPr="008154A4">
              <w:rPr>
                <w:rFonts w:ascii="Times New Roman" w:hAnsi="Times New Roman" w:cs="Times New Roman"/>
                <w:i w:val="0"/>
                <w:noProof/>
                <w:webHidden/>
                <w:sz w:val="24"/>
                <w:szCs w:val="24"/>
              </w:rPr>
              <w:tab/>
            </w:r>
            <w:r w:rsidR="009641B8" w:rsidRPr="008154A4">
              <w:rPr>
                <w:rFonts w:ascii="Times New Roman" w:hAnsi="Times New Roman" w:cs="Times New Roman"/>
                <w:i w:val="0"/>
                <w:noProof/>
                <w:webHidden/>
                <w:sz w:val="24"/>
                <w:szCs w:val="24"/>
              </w:rPr>
              <w:fldChar w:fldCharType="begin"/>
            </w:r>
            <w:r w:rsidR="009641B8" w:rsidRPr="008154A4">
              <w:rPr>
                <w:rFonts w:ascii="Times New Roman" w:hAnsi="Times New Roman" w:cs="Times New Roman"/>
                <w:i w:val="0"/>
                <w:noProof/>
                <w:webHidden/>
                <w:sz w:val="24"/>
                <w:szCs w:val="24"/>
              </w:rPr>
              <w:instrText xml:space="preserve"> PAGEREF _Toc153353422 \h </w:instrText>
            </w:r>
            <w:r w:rsidR="009641B8" w:rsidRPr="008154A4">
              <w:rPr>
                <w:rFonts w:ascii="Times New Roman" w:hAnsi="Times New Roman" w:cs="Times New Roman"/>
                <w:i w:val="0"/>
                <w:noProof/>
                <w:webHidden/>
                <w:sz w:val="24"/>
                <w:szCs w:val="24"/>
              </w:rPr>
            </w:r>
            <w:r w:rsidR="009641B8" w:rsidRPr="008154A4">
              <w:rPr>
                <w:rFonts w:ascii="Times New Roman" w:hAnsi="Times New Roman" w:cs="Times New Roman"/>
                <w:i w:val="0"/>
                <w:noProof/>
                <w:webHidden/>
                <w:sz w:val="24"/>
                <w:szCs w:val="24"/>
              </w:rPr>
              <w:fldChar w:fldCharType="separate"/>
            </w:r>
            <w:r w:rsidR="008935FE">
              <w:rPr>
                <w:rFonts w:ascii="Times New Roman" w:hAnsi="Times New Roman" w:cs="Times New Roman"/>
                <w:i w:val="0"/>
                <w:noProof/>
                <w:webHidden/>
                <w:sz w:val="24"/>
                <w:szCs w:val="24"/>
              </w:rPr>
              <w:t>18</w:t>
            </w:r>
            <w:r w:rsidR="009641B8" w:rsidRPr="008154A4">
              <w:rPr>
                <w:rFonts w:ascii="Times New Roman" w:hAnsi="Times New Roman" w:cs="Times New Roman"/>
                <w:i w:val="0"/>
                <w:noProof/>
                <w:webHidden/>
                <w:sz w:val="24"/>
                <w:szCs w:val="24"/>
              </w:rPr>
              <w:fldChar w:fldCharType="end"/>
            </w:r>
          </w:hyperlink>
        </w:p>
        <w:p w14:paraId="76A54C1C" w14:textId="4F80F9D9" w:rsidR="009641B8" w:rsidRPr="008154A4" w:rsidRDefault="00FE741D">
          <w:pPr>
            <w:pStyle w:val="Sadraj3"/>
            <w:tabs>
              <w:tab w:val="left" w:pos="1100"/>
              <w:tab w:val="right" w:leader="dot" w:pos="9016"/>
            </w:tabs>
            <w:rPr>
              <w:rFonts w:ascii="Times New Roman" w:eastAsiaTheme="minorEastAsia" w:hAnsi="Times New Roman" w:cs="Times New Roman"/>
              <w:i w:val="0"/>
              <w:iCs w:val="0"/>
              <w:noProof/>
              <w:sz w:val="24"/>
              <w:szCs w:val="24"/>
              <w:lang w:eastAsia="hr-HR"/>
            </w:rPr>
          </w:pPr>
          <w:hyperlink w:anchor="_Toc153353423" w:history="1">
            <w:r w:rsidR="009641B8" w:rsidRPr="008154A4">
              <w:rPr>
                <w:rStyle w:val="Hiperveza"/>
                <w:rFonts w:ascii="Times New Roman" w:hAnsi="Times New Roman" w:cs="Times New Roman"/>
                <w:i w:val="0"/>
                <w:noProof/>
                <w:sz w:val="24"/>
                <w:szCs w:val="24"/>
              </w:rPr>
              <w:t>2.5.</w:t>
            </w:r>
            <w:r w:rsidR="009641B8" w:rsidRPr="008154A4">
              <w:rPr>
                <w:rFonts w:ascii="Times New Roman" w:eastAsiaTheme="minorEastAsia" w:hAnsi="Times New Roman" w:cs="Times New Roman"/>
                <w:i w:val="0"/>
                <w:iCs w:val="0"/>
                <w:noProof/>
                <w:sz w:val="24"/>
                <w:szCs w:val="24"/>
                <w:lang w:eastAsia="hr-HR"/>
              </w:rPr>
              <w:tab/>
            </w:r>
            <w:r w:rsidR="009641B8" w:rsidRPr="008154A4">
              <w:rPr>
                <w:rStyle w:val="Hiperveza"/>
                <w:rFonts w:ascii="Times New Roman" w:hAnsi="Times New Roman" w:cs="Times New Roman"/>
                <w:i w:val="0"/>
                <w:noProof/>
                <w:sz w:val="24"/>
                <w:szCs w:val="24"/>
              </w:rPr>
              <w:t>Pregled jedinstvene statistike sustava SPNFT u 2022.</w:t>
            </w:r>
            <w:r w:rsidR="009641B8" w:rsidRPr="008154A4">
              <w:rPr>
                <w:rFonts w:ascii="Times New Roman" w:hAnsi="Times New Roman" w:cs="Times New Roman"/>
                <w:i w:val="0"/>
                <w:noProof/>
                <w:webHidden/>
                <w:sz w:val="24"/>
                <w:szCs w:val="24"/>
              </w:rPr>
              <w:tab/>
            </w:r>
            <w:r w:rsidR="009641B8" w:rsidRPr="008154A4">
              <w:rPr>
                <w:rFonts w:ascii="Times New Roman" w:hAnsi="Times New Roman" w:cs="Times New Roman"/>
                <w:i w:val="0"/>
                <w:noProof/>
                <w:webHidden/>
                <w:sz w:val="24"/>
                <w:szCs w:val="24"/>
              </w:rPr>
              <w:fldChar w:fldCharType="begin"/>
            </w:r>
            <w:r w:rsidR="009641B8" w:rsidRPr="008154A4">
              <w:rPr>
                <w:rFonts w:ascii="Times New Roman" w:hAnsi="Times New Roman" w:cs="Times New Roman"/>
                <w:i w:val="0"/>
                <w:noProof/>
                <w:webHidden/>
                <w:sz w:val="24"/>
                <w:szCs w:val="24"/>
              </w:rPr>
              <w:instrText xml:space="preserve"> PAGEREF _Toc153353423 \h </w:instrText>
            </w:r>
            <w:r w:rsidR="009641B8" w:rsidRPr="008154A4">
              <w:rPr>
                <w:rFonts w:ascii="Times New Roman" w:hAnsi="Times New Roman" w:cs="Times New Roman"/>
                <w:i w:val="0"/>
                <w:noProof/>
                <w:webHidden/>
                <w:sz w:val="24"/>
                <w:szCs w:val="24"/>
              </w:rPr>
            </w:r>
            <w:r w:rsidR="009641B8" w:rsidRPr="008154A4">
              <w:rPr>
                <w:rFonts w:ascii="Times New Roman" w:hAnsi="Times New Roman" w:cs="Times New Roman"/>
                <w:i w:val="0"/>
                <w:noProof/>
                <w:webHidden/>
                <w:sz w:val="24"/>
                <w:szCs w:val="24"/>
              </w:rPr>
              <w:fldChar w:fldCharType="separate"/>
            </w:r>
            <w:r w:rsidR="008935FE">
              <w:rPr>
                <w:rFonts w:ascii="Times New Roman" w:hAnsi="Times New Roman" w:cs="Times New Roman"/>
                <w:i w:val="0"/>
                <w:noProof/>
                <w:webHidden/>
                <w:sz w:val="24"/>
                <w:szCs w:val="24"/>
              </w:rPr>
              <w:t>22</w:t>
            </w:r>
            <w:r w:rsidR="009641B8" w:rsidRPr="008154A4">
              <w:rPr>
                <w:rFonts w:ascii="Times New Roman" w:hAnsi="Times New Roman" w:cs="Times New Roman"/>
                <w:i w:val="0"/>
                <w:noProof/>
                <w:webHidden/>
                <w:sz w:val="24"/>
                <w:szCs w:val="24"/>
              </w:rPr>
              <w:fldChar w:fldCharType="end"/>
            </w:r>
          </w:hyperlink>
        </w:p>
        <w:p w14:paraId="3E65B68C" w14:textId="23A82866" w:rsidR="009641B8" w:rsidRPr="008154A4" w:rsidRDefault="00FE741D">
          <w:pPr>
            <w:pStyle w:val="Sadraj2"/>
            <w:tabs>
              <w:tab w:val="left" w:pos="660"/>
              <w:tab w:val="right" w:leader="dot" w:pos="9016"/>
            </w:tabs>
            <w:rPr>
              <w:rFonts w:ascii="Times New Roman" w:eastAsiaTheme="minorEastAsia" w:hAnsi="Times New Roman" w:cs="Times New Roman"/>
              <w:smallCaps w:val="0"/>
              <w:noProof/>
              <w:sz w:val="24"/>
              <w:szCs w:val="24"/>
              <w:lang w:eastAsia="hr-HR"/>
            </w:rPr>
          </w:pPr>
          <w:hyperlink w:anchor="_Toc153353424" w:history="1">
            <w:r w:rsidR="009641B8" w:rsidRPr="008154A4">
              <w:rPr>
                <w:rStyle w:val="Hiperveza"/>
                <w:rFonts w:ascii="Times New Roman" w:hAnsi="Times New Roman" w:cs="Times New Roman"/>
                <w:noProof/>
                <w:sz w:val="24"/>
                <w:szCs w:val="24"/>
              </w:rPr>
              <w:t>3.</w:t>
            </w:r>
            <w:r w:rsidR="009641B8" w:rsidRPr="008154A4">
              <w:rPr>
                <w:rFonts w:ascii="Times New Roman" w:eastAsiaTheme="minorEastAsia" w:hAnsi="Times New Roman" w:cs="Times New Roman"/>
                <w:smallCaps w:val="0"/>
                <w:noProof/>
                <w:sz w:val="24"/>
                <w:szCs w:val="24"/>
                <w:lang w:eastAsia="hr-HR"/>
              </w:rPr>
              <w:tab/>
            </w:r>
            <w:r w:rsidR="009641B8" w:rsidRPr="008154A4">
              <w:rPr>
                <w:rStyle w:val="Hiperveza"/>
                <w:rFonts w:ascii="Times New Roman" w:hAnsi="Times New Roman" w:cs="Times New Roman"/>
                <w:noProof/>
                <w:sz w:val="24"/>
                <w:szCs w:val="24"/>
              </w:rPr>
              <w:t>STRATEGIJSKE ANALIZE</w:t>
            </w:r>
            <w:r w:rsidR="009641B8" w:rsidRPr="008154A4">
              <w:rPr>
                <w:rFonts w:ascii="Times New Roman" w:hAnsi="Times New Roman" w:cs="Times New Roman"/>
                <w:noProof/>
                <w:webHidden/>
                <w:sz w:val="24"/>
                <w:szCs w:val="24"/>
              </w:rPr>
              <w:tab/>
            </w:r>
            <w:r w:rsidR="009641B8" w:rsidRPr="008154A4">
              <w:rPr>
                <w:rFonts w:ascii="Times New Roman" w:hAnsi="Times New Roman" w:cs="Times New Roman"/>
                <w:noProof/>
                <w:webHidden/>
                <w:sz w:val="24"/>
                <w:szCs w:val="24"/>
              </w:rPr>
              <w:fldChar w:fldCharType="begin"/>
            </w:r>
            <w:r w:rsidR="009641B8" w:rsidRPr="008154A4">
              <w:rPr>
                <w:rFonts w:ascii="Times New Roman" w:hAnsi="Times New Roman" w:cs="Times New Roman"/>
                <w:noProof/>
                <w:webHidden/>
                <w:sz w:val="24"/>
                <w:szCs w:val="24"/>
              </w:rPr>
              <w:instrText xml:space="preserve"> PAGEREF _Toc153353424 \h </w:instrText>
            </w:r>
            <w:r w:rsidR="009641B8" w:rsidRPr="008154A4">
              <w:rPr>
                <w:rFonts w:ascii="Times New Roman" w:hAnsi="Times New Roman" w:cs="Times New Roman"/>
                <w:noProof/>
                <w:webHidden/>
                <w:sz w:val="24"/>
                <w:szCs w:val="24"/>
              </w:rPr>
            </w:r>
            <w:r w:rsidR="009641B8" w:rsidRPr="008154A4">
              <w:rPr>
                <w:rFonts w:ascii="Times New Roman" w:hAnsi="Times New Roman" w:cs="Times New Roman"/>
                <w:noProof/>
                <w:webHidden/>
                <w:sz w:val="24"/>
                <w:szCs w:val="24"/>
              </w:rPr>
              <w:fldChar w:fldCharType="separate"/>
            </w:r>
            <w:r w:rsidR="008935FE">
              <w:rPr>
                <w:rFonts w:ascii="Times New Roman" w:hAnsi="Times New Roman" w:cs="Times New Roman"/>
                <w:noProof/>
                <w:webHidden/>
                <w:sz w:val="24"/>
                <w:szCs w:val="24"/>
              </w:rPr>
              <w:t>25</w:t>
            </w:r>
            <w:r w:rsidR="009641B8" w:rsidRPr="008154A4">
              <w:rPr>
                <w:rFonts w:ascii="Times New Roman" w:hAnsi="Times New Roman" w:cs="Times New Roman"/>
                <w:noProof/>
                <w:webHidden/>
                <w:sz w:val="24"/>
                <w:szCs w:val="24"/>
              </w:rPr>
              <w:fldChar w:fldCharType="end"/>
            </w:r>
          </w:hyperlink>
        </w:p>
        <w:p w14:paraId="5F18F3BF" w14:textId="18BBE1A6" w:rsidR="009641B8" w:rsidRPr="008154A4" w:rsidRDefault="00FE741D">
          <w:pPr>
            <w:pStyle w:val="Sadraj3"/>
            <w:tabs>
              <w:tab w:val="left" w:pos="1100"/>
              <w:tab w:val="right" w:leader="dot" w:pos="9016"/>
            </w:tabs>
            <w:rPr>
              <w:rFonts w:ascii="Times New Roman" w:eastAsiaTheme="minorEastAsia" w:hAnsi="Times New Roman" w:cs="Times New Roman"/>
              <w:i w:val="0"/>
              <w:iCs w:val="0"/>
              <w:noProof/>
              <w:sz w:val="24"/>
              <w:szCs w:val="24"/>
              <w:lang w:eastAsia="hr-HR"/>
            </w:rPr>
          </w:pPr>
          <w:hyperlink w:anchor="_Toc153353425" w:history="1">
            <w:r w:rsidR="009641B8" w:rsidRPr="008154A4">
              <w:rPr>
                <w:rStyle w:val="Hiperveza"/>
                <w:rFonts w:ascii="Times New Roman" w:hAnsi="Times New Roman" w:cs="Times New Roman"/>
                <w:i w:val="0"/>
                <w:noProof/>
                <w:sz w:val="24"/>
                <w:szCs w:val="24"/>
              </w:rPr>
              <w:t>3.1.</w:t>
            </w:r>
            <w:r w:rsidR="009641B8" w:rsidRPr="008154A4">
              <w:rPr>
                <w:rFonts w:ascii="Times New Roman" w:eastAsiaTheme="minorEastAsia" w:hAnsi="Times New Roman" w:cs="Times New Roman"/>
                <w:i w:val="0"/>
                <w:iCs w:val="0"/>
                <w:noProof/>
                <w:sz w:val="24"/>
                <w:szCs w:val="24"/>
                <w:lang w:eastAsia="hr-HR"/>
              </w:rPr>
              <w:tab/>
            </w:r>
            <w:r w:rsidR="009641B8" w:rsidRPr="008154A4">
              <w:rPr>
                <w:rStyle w:val="Hiperveza"/>
                <w:rFonts w:ascii="Times New Roman" w:hAnsi="Times New Roman" w:cs="Times New Roman"/>
                <w:i w:val="0"/>
                <w:noProof/>
                <w:sz w:val="24"/>
                <w:szCs w:val="24"/>
              </w:rPr>
              <w:t>Obavijesti o sumnjivim transakcijama, sredstvima i osobama u 2022.</w:t>
            </w:r>
            <w:r w:rsidR="009641B8" w:rsidRPr="008154A4">
              <w:rPr>
                <w:rFonts w:ascii="Times New Roman" w:hAnsi="Times New Roman" w:cs="Times New Roman"/>
                <w:i w:val="0"/>
                <w:noProof/>
                <w:webHidden/>
                <w:sz w:val="24"/>
                <w:szCs w:val="24"/>
              </w:rPr>
              <w:tab/>
            </w:r>
            <w:r w:rsidR="009641B8" w:rsidRPr="008154A4">
              <w:rPr>
                <w:rFonts w:ascii="Times New Roman" w:hAnsi="Times New Roman" w:cs="Times New Roman"/>
                <w:i w:val="0"/>
                <w:noProof/>
                <w:webHidden/>
                <w:sz w:val="24"/>
                <w:szCs w:val="24"/>
              </w:rPr>
              <w:fldChar w:fldCharType="begin"/>
            </w:r>
            <w:r w:rsidR="009641B8" w:rsidRPr="008154A4">
              <w:rPr>
                <w:rFonts w:ascii="Times New Roman" w:hAnsi="Times New Roman" w:cs="Times New Roman"/>
                <w:i w:val="0"/>
                <w:noProof/>
                <w:webHidden/>
                <w:sz w:val="24"/>
                <w:szCs w:val="24"/>
              </w:rPr>
              <w:instrText xml:space="preserve"> PAGEREF _Toc153353425 \h </w:instrText>
            </w:r>
            <w:r w:rsidR="009641B8" w:rsidRPr="008154A4">
              <w:rPr>
                <w:rFonts w:ascii="Times New Roman" w:hAnsi="Times New Roman" w:cs="Times New Roman"/>
                <w:i w:val="0"/>
                <w:noProof/>
                <w:webHidden/>
                <w:sz w:val="24"/>
                <w:szCs w:val="24"/>
              </w:rPr>
            </w:r>
            <w:r w:rsidR="009641B8" w:rsidRPr="008154A4">
              <w:rPr>
                <w:rFonts w:ascii="Times New Roman" w:hAnsi="Times New Roman" w:cs="Times New Roman"/>
                <w:i w:val="0"/>
                <w:noProof/>
                <w:webHidden/>
                <w:sz w:val="24"/>
                <w:szCs w:val="24"/>
              </w:rPr>
              <w:fldChar w:fldCharType="separate"/>
            </w:r>
            <w:r w:rsidR="008935FE">
              <w:rPr>
                <w:rFonts w:ascii="Times New Roman" w:hAnsi="Times New Roman" w:cs="Times New Roman"/>
                <w:i w:val="0"/>
                <w:noProof/>
                <w:webHidden/>
                <w:sz w:val="24"/>
                <w:szCs w:val="24"/>
              </w:rPr>
              <w:t>26</w:t>
            </w:r>
            <w:r w:rsidR="009641B8" w:rsidRPr="008154A4">
              <w:rPr>
                <w:rFonts w:ascii="Times New Roman" w:hAnsi="Times New Roman" w:cs="Times New Roman"/>
                <w:i w:val="0"/>
                <w:noProof/>
                <w:webHidden/>
                <w:sz w:val="24"/>
                <w:szCs w:val="24"/>
              </w:rPr>
              <w:fldChar w:fldCharType="end"/>
            </w:r>
          </w:hyperlink>
        </w:p>
        <w:p w14:paraId="5B4BCCE3" w14:textId="0E013AC7" w:rsidR="009641B8" w:rsidRPr="008154A4" w:rsidRDefault="00FE741D">
          <w:pPr>
            <w:pStyle w:val="Sadraj3"/>
            <w:tabs>
              <w:tab w:val="left" w:pos="1100"/>
              <w:tab w:val="right" w:leader="dot" w:pos="9016"/>
            </w:tabs>
            <w:rPr>
              <w:rFonts w:ascii="Times New Roman" w:eastAsiaTheme="minorEastAsia" w:hAnsi="Times New Roman" w:cs="Times New Roman"/>
              <w:i w:val="0"/>
              <w:iCs w:val="0"/>
              <w:noProof/>
              <w:sz w:val="24"/>
              <w:szCs w:val="24"/>
              <w:lang w:eastAsia="hr-HR"/>
            </w:rPr>
          </w:pPr>
          <w:hyperlink w:anchor="_Toc153353426" w:history="1">
            <w:r w:rsidR="009641B8" w:rsidRPr="008154A4">
              <w:rPr>
                <w:rStyle w:val="Hiperveza"/>
                <w:rFonts w:ascii="Times New Roman" w:hAnsi="Times New Roman" w:cs="Times New Roman"/>
                <w:i w:val="0"/>
                <w:noProof/>
                <w:sz w:val="24"/>
                <w:szCs w:val="24"/>
              </w:rPr>
              <w:t>3.2.</w:t>
            </w:r>
            <w:r w:rsidR="009641B8" w:rsidRPr="008154A4">
              <w:rPr>
                <w:rFonts w:ascii="Times New Roman" w:eastAsiaTheme="minorEastAsia" w:hAnsi="Times New Roman" w:cs="Times New Roman"/>
                <w:i w:val="0"/>
                <w:iCs w:val="0"/>
                <w:noProof/>
                <w:sz w:val="24"/>
                <w:szCs w:val="24"/>
                <w:lang w:eastAsia="hr-HR"/>
              </w:rPr>
              <w:tab/>
            </w:r>
            <w:r w:rsidR="009641B8" w:rsidRPr="008154A4">
              <w:rPr>
                <w:rStyle w:val="Hiperveza"/>
                <w:rFonts w:ascii="Times New Roman" w:hAnsi="Times New Roman" w:cs="Times New Roman"/>
                <w:i w:val="0"/>
                <w:noProof/>
                <w:sz w:val="24"/>
                <w:szCs w:val="24"/>
              </w:rPr>
              <w:t>Obavijesti o gotovinskim transakcijama u 2022.</w:t>
            </w:r>
            <w:r w:rsidR="009641B8" w:rsidRPr="008154A4">
              <w:rPr>
                <w:rFonts w:ascii="Times New Roman" w:hAnsi="Times New Roman" w:cs="Times New Roman"/>
                <w:i w:val="0"/>
                <w:noProof/>
                <w:webHidden/>
                <w:sz w:val="24"/>
                <w:szCs w:val="24"/>
              </w:rPr>
              <w:tab/>
            </w:r>
            <w:r w:rsidR="009641B8" w:rsidRPr="008154A4">
              <w:rPr>
                <w:rFonts w:ascii="Times New Roman" w:hAnsi="Times New Roman" w:cs="Times New Roman"/>
                <w:i w:val="0"/>
                <w:noProof/>
                <w:webHidden/>
                <w:sz w:val="24"/>
                <w:szCs w:val="24"/>
              </w:rPr>
              <w:fldChar w:fldCharType="begin"/>
            </w:r>
            <w:r w:rsidR="009641B8" w:rsidRPr="008154A4">
              <w:rPr>
                <w:rFonts w:ascii="Times New Roman" w:hAnsi="Times New Roman" w:cs="Times New Roman"/>
                <w:i w:val="0"/>
                <w:noProof/>
                <w:webHidden/>
                <w:sz w:val="24"/>
                <w:szCs w:val="24"/>
              </w:rPr>
              <w:instrText xml:space="preserve"> PAGEREF _Toc153353426 \h </w:instrText>
            </w:r>
            <w:r w:rsidR="009641B8" w:rsidRPr="008154A4">
              <w:rPr>
                <w:rFonts w:ascii="Times New Roman" w:hAnsi="Times New Roman" w:cs="Times New Roman"/>
                <w:i w:val="0"/>
                <w:noProof/>
                <w:webHidden/>
                <w:sz w:val="24"/>
                <w:szCs w:val="24"/>
              </w:rPr>
            </w:r>
            <w:r w:rsidR="009641B8" w:rsidRPr="008154A4">
              <w:rPr>
                <w:rFonts w:ascii="Times New Roman" w:hAnsi="Times New Roman" w:cs="Times New Roman"/>
                <w:i w:val="0"/>
                <w:noProof/>
                <w:webHidden/>
                <w:sz w:val="24"/>
                <w:szCs w:val="24"/>
              </w:rPr>
              <w:fldChar w:fldCharType="separate"/>
            </w:r>
            <w:r w:rsidR="008935FE">
              <w:rPr>
                <w:rFonts w:ascii="Times New Roman" w:hAnsi="Times New Roman" w:cs="Times New Roman"/>
                <w:i w:val="0"/>
                <w:noProof/>
                <w:webHidden/>
                <w:sz w:val="24"/>
                <w:szCs w:val="24"/>
              </w:rPr>
              <w:t>30</w:t>
            </w:r>
            <w:r w:rsidR="009641B8" w:rsidRPr="008154A4">
              <w:rPr>
                <w:rFonts w:ascii="Times New Roman" w:hAnsi="Times New Roman" w:cs="Times New Roman"/>
                <w:i w:val="0"/>
                <w:noProof/>
                <w:webHidden/>
                <w:sz w:val="24"/>
                <w:szCs w:val="24"/>
              </w:rPr>
              <w:fldChar w:fldCharType="end"/>
            </w:r>
          </w:hyperlink>
        </w:p>
        <w:p w14:paraId="06000CE4" w14:textId="74E140B8" w:rsidR="009641B8" w:rsidRPr="008154A4" w:rsidRDefault="00FE741D">
          <w:pPr>
            <w:pStyle w:val="Sadraj3"/>
            <w:tabs>
              <w:tab w:val="left" w:pos="1100"/>
              <w:tab w:val="right" w:leader="dot" w:pos="9016"/>
            </w:tabs>
            <w:rPr>
              <w:rFonts w:ascii="Times New Roman" w:eastAsiaTheme="minorEastAsia" w:hAnsi="Times New Roman" w:cs="Times New Roman"/>
              <w:i w:val="0"/>
              <w:iCs w:val="0"/>
              <w:noProof/>
              <w:sz w:val="24"/>
              <w:szCs w:val="24"/>
              <w:lang w:eastAsia="hr-HR"/>
            </w:rPr>
          </w:pPr>
          <w:hyperlink w:anchor="_Toc153353427" w:history="1">
            <w:r w:rsidR="009641B8" w:rsidRPr="008154A4">
              <w:rPr>
                <w:rStyle w:val="Hiperveza"/>
                <w:rFonts w:ascii="Times New Roman" w:hAnsi="Times New Roman" w:cs="Times New Roman"/>
                <w:i w:val="0"/>
                <w:noProof/>
                <w:sz w:val="24"/>
                <w:szCs w:val="24"/>
              </w:rPr>
              <w:t>3.3.</w:t>
            </w:r>
            <w:r w:rsidR="009641B8" w:rsidRPr="008154A4">
              <w:rPr>
                <w:rFonts w:ascii="Times New Roman" w:eastAsiaTheme="minorEastAsia" w:hAnsi="Times New Roman" w:cs="Times New Roman"/>
                <w:i w:val="0"/>
                <w:iCs w:val="0"/>
                <w:noProof/>
                <w:sz w:val="24"/>
                <w:szCs w:val="24"/>
                <w:lang w:eastAsia="hr-HR"/>
              </w:rPr>
              <w:tab/>
            </w:r>
            <w:r w:rsidR="009641B8" w:rsidRPr="008154A4">
              <w:rPr>
                <w:rStyle w:val="Hiperveza"/>
                <w:rFonts w:ascii="Times New Roman" w:hAnsi="Times New Roman" w:cs="Times New Roman"/>
                <w:i w:val="0"/>
                <w:noProof/>
                <w:sz w:val="24"/>
                <w:szCs w:val="24"/>
              </w:rPr>
              <w:t>Tipologije pranja novca identificirane u slučajevima Ureda</w:t>
            </w:r>
            <w:r w:rsidR="009641B8" w:rsidRPr="008154A4">
              <w:rPr>
                <w:rFonts w:ascii="Times New Roman" w:hAnsi="Times New Roman" w:cs="Times New Roman"/>
                <w:i w:val="0"/>
                <w:noProof/>
                <w:webHidden/>
                <w:sz w:val="24"/>
                <w:szCs w:val="24"/>
              </w:rPr>
              <w:tab/>
            </w:r>
            <w:r w:rsidR="009641B8" w:rsidRPr="008154A4">
              <w:rPr>
                <w:rFonts w:ascii="Times New Roman" w:hAnsi="Times New Roman" w:cs="Times New Roman"/>
                <w:i w:val="0"/>
                <w:noProof/>
                <w:webHidden/>
                <w:sz w:val="24"/>
                <w:szCs w:val="24"/>
              </w:rPr>
              <w:fldChar w:fldCharType="begin"/>
            </w:r>
            <w:r w:rsidR="009641B8" w:rsidRPr="008154A4">
              <w:rPr>
                <w:rFonts w:ascii="Times New Roman" w:hAnsi="Times New Roman" w:cs="Times New Roman"/>
                <w:i w:val="0"/>
                <w:noProof/>
                <w:webHidden/>
                <w:sz w:val="24"/>
                <w:szCs w:val="24"/>
              </w:rPr>
              <w:instrText xml:space="preserve"> PAGEREF _Toc153353427 \h </w:instrText>
            </w:r>
            <w:r w:rsidR="009641B8" w:rsidRPr="008154A4">
              <w:rPr>
                <w:rFonts w:ascii="Times New Roman" w:hAnsi="Times New Roman" w:cs="Times New Roman"/>
                <w:i w:val="0"/>
                <w:noProof/>
                <w:webHidden/>
                <w:sz w:val="24"/>
                <w:szCs w:val="24"/>
              </w:rPr>
            </w:r>
            <w:r w:rsidR="009641B8" w:rsidRPr="008154A4">
              <w:rPr>
                <w:rFonts w:ascii="Times New Roman" w:hAnsi="Times New Roman" w:cs="Times New Roman"/>
                <w:i w:val="0"/>
                <w:noProof/>
                <w:webHidden/>
                <w:sz w:val="24"/>
                <w:szCs w:val="24"/>
              </w:rPr>
              <w:fldChar w:fldCharType="separate"/>
            </w:r>
            <w:r w:rsidR="008935FE">
              <w:rPr>
                <w:rFonts w:ascii="Times New Roman" w:hAnsi="Times New Roman" w:cs="Times New Roman"/>
                <w:i w:val="0"/>
                <w:noProof/>
                <w:webHidden/>
                <w:sz w:val="24"/>
                <w:szCs w:val="24"/>
              </w:rPr>
              <w:t>34</w:t>
            </w:r>
            <w:r w:rsidR="009641B8" w:rsidRPr="008154A4">
              <w:rPr>
                <w:rFonts w:ascii="Times New Roman" w:hAnsi="Times New Roman" w:cs="Times New Roman"/>
                <w:i w:val="0"/>
                <w:noProof/>
                <w:webHidden/>
                <w:sz w:val="24"/>
                <w:szCs w:val="24"/>
              </w:rPr>
              <w:fldChar w:fldCharType="end"/>
            </w:r>
          </w:hyperlink>
        </w:p>
        <w:p w14:paraId="4AFB33EF" w14:textId="4FD603D0" w:rsidR="009641B8" w:rsidRPr="008154A4" w:rsidRDefault="00FE741D">
          <w:pPr>
            <w:pStyle w:val="Sadraj3"/>
            <w:tabs>
              <w:tab w:val="left" w:pos="1100"/>
              <w:tab w:val="right" w:leader="dot" w:pos="9016"/>
            </w:tabs>
            <w:rPr>
              <w:rFonts w:ascii="Times New Roman" w:eastAsiaTheme="minorEastAsia" w:hAnsi="Times New Roman" w:cs="Times New Roman"/>
              <w:i w:val="0"/>
              <w:iCs w:val="0"/>
              <w:noProof/>
              <w:sz w:val="24"/>
              <w:szCs w:val="24"/>
              <w:lang w:eastAsia="hr-HR"/>
            </w:rPr>
          </w:pPr>
          <w:hyperlink w:anchor="_Toc153353428" w:history="1">
            <w:r w:rsidR="009641B8" w:rsidRPr="008154A4">
              <w:rPr>
                <w:rStyle w:val="Hiperveza"/>
                <w:rFonts w:ascii="Times New Roman" w:hAnsi="Times New Roman" w:cs="Times New Roman"/>
                <w:i w:val="0"/>
                <w:noProof/>
                <w:sz w:val="24"/>
                <w:szCs w:val="24"/>
              </w:rPr>
              <w:t>3.4.</w:t>
            </w:r>
            <w:r w:rsidR="009641B8" w:rsidRPr="008154A4">
              <w:rPr>
                <w:rFonts w:ascii="Times New Roman" w:eastAsiaTheme="minorEastAsia" w:hAnsi="Times New Roman" w:cs="Times New Roman"/>
                <w:i w:val="0"/>
                <w:iCs w:val="0"/>
                <w:noProof/>
                <w:sz w:val="24"/>
                <w:szCs w:val="24"/>
                <w:lang w:eastAsia="hr-HR"/>
              </w:rPr>
              <w:tab/>
            </w:r>
            <w:r w:rsidR="009641B8" w:rsidRPr="008154A4">
              <w:rPr>
                <w:rStyle w:val="Hiperveza"/>
                <w:rFonts w:ascii="Times New Roman" w:hAnsi="Times New Roman" w:cs="Times New Roman"/>
                <w:i w:val="0"/>
                <w:noProof/>
                <w:sz w:val="24"/>
                <w:szCs w:val="24"/>
              </w:rPr>
              <w:t>Anonimizirani slučajevi Ureda</w:t>
            </w:r>
            <w:r w:rsidR="009641B8" w:rsidRPr="008154A4">
              <w:rPr>
                <w:rFonts w:ascii="Times New Roman" w:hAnsi="Times New Roman" w:cs="Times New Roman"/>
                <w:i w:val="0"/>
                <w:noProof/>
                <w:webHidden/>
                <w:sz w:val="24"/>
                <w:szCs w:val="24"/>
              </w:rPr>
              <w:tab/>
            </w:r>
            <w:r w:rsidR="009641B8" w:rsidRPr="008154A4">
              <w:rPr>
                <w:rFonts w:ascii="Times New Roman" w:hAnsi="Times New Roman" w:cs="Times New Roman"/>
                <w:i w:val="0"/>
                <w:noProof/>
                <w:webHidden/>
                <w:sz w:val="24"/>
                <w:szCs w:val="24"/>
              </w:rPr>
              <w:fldChar w:fldCharType="begin"/>
            </w:r>
            <w:r w:rsidR="009641B8" w:rsidRPr="008154A4">
              <w:rPr>
                <w:rFonts w:ascii="Times New Roman" w:hAnsi="Times New Roman" w:cs="Times New Roman"/>
                <w:i w:val="0"/>
                <w:noProof/>
                <w:webHidden/>
                <w:sz w:val="24"/>
                <w:szCs w:val="24"/>
              </w:rPr>
              <w:instrText xml:space="preserve"> PAGEREF _Toc153353428 \h </w:instrText>
            </w:r>
            <w:r w:rsidR="009641B8" w:rsidRPr="008154A4">
              <w:rPr>
                <w:rFonts w:ascii="Times New Roman" w:hAnsi="Times New Roman" w:cs="Times New Roman"/>
                <w:i w:val="0"/>
                <w:noProof/>
                <w:webHidden/>
                <w:sz w:val="24"/>
                <w:szCs w:val="24"/>
              </w:rPr>
            </w:r>
            <w:r w:rsidR="009641B8" w:rsidRPr="008154A4">
              <w:rPr>
                <w:rFonts w:ascii="Times New Roman" w:hAnsi="Times New Roman" w:cs="Times New Roman"/>
                <w:i w:val="0"/>
                <w:noProof/>
                <w:webHidden/>
                <w:sz w:val="24"/>
                <w:szCs w:val="24"/>
              </w:rPr>
              <w:fldChar w:fldCharType="separate"/>
            </w:r>
            <w:r w:rsidR="008935FE">
              <w:rPr>
                <w:rFonts w:ascii="Times New Roman" w:hAnsi="Times New Roman" w:cs="Times New Roman"/>
                <w:i w:val="0"/>
                <w:noProof/>
                <w:webHidden/>
                <w:sz w:val="24"/>
                <w:szCs w:val="24"/>
              </w:rPr>
              <w:t>37</w:t>
            </w:r>
            <w:r w:rsidR="009641B8" w:rsidRPr="008154A4">
              <w:rPr>
                <w:rFonts w:ascii="Times New Roman" w:hAnsi="Times New Roman" w:cs="Times New Roman"/>
                <w:i w:val="0"/>
                <w:noProof/>
                <w:webHidden/>
                <w:sz w:val="24"/>
                <w:szCs w:val="24"/>
              </w:rPr>
              <w:fldChar w:fldCharType="end"/>
            </w:r>
          </w:hyperlink>
        </w:p>
        <w:p w14:paraId="22043F01" w14:textId="6FA45237" w:rsidR="009641B8" w:rsidRPr="008154A4" w:rsidRDefault="00FE741D">
          <w:pPr>
            <w:pStyle w:val="Sadraj3"/>
            <w:tabs>
              <w:tab w:val="left" w:pos="1100"/>
              <w:tab w:val="right" w:leader="dot" w:pos="9016"/>
            </w:tabs>
            <w:rPr>
              <w:rFonts w:ascii="Times New Roman" w:eastAsiaTheme="minorEastAsia" w:hAnsi="Times New Roman" w:cs="Times New Roman"/>
              <w:i w:val="0"/>
              <w:iCs w:val="0"/>
              <w:noProof/>
              <w:sz w:val="24"/>
              <w:szCs w:val="24"/>
              <w:lang w:eastAsia="hr-HR"/>
            </w:rPr>
          </w:pPr>
          <w:hyperlink w:anchor="_Toc153353429" w:history="1">
            <w:r w:rsidR="009641B8" w:rsidRPr="008154A4">
              <w:rPr>
                <w:rStyle w:val="Hiperveza"/>
                <w:rFonts w:ascii="Times New Roman" w:hAnsi="Times New Roman" w:cs="Times New Roman"/>
                <w:i w:val="0"/>
                <w:noProof/>
                <w:sz w:val="24"/>
                <w:szCs w:val="24"/>
              </w:rPr>
              <w:t>3.5.</w:t>
            </w:r>
            <w:r w:rsidR="009641B8" w:rsidRPr="008154A4">
              <w:rPr>
                <w:rFonts w:ascii="Times New Roman" w:eastAsiaTheme="minorEastAsia" w:hAnsi="Times New Roman" w:cs="Times New Roman"/>
                <w:i w:val="0"/>
                <w:iCs w:val="0"/>
                <w:noProof/>
                <w:sz w:val="24"/>
                <w:szCs w:val="24"/>
                <w:lang w:eastAsia="hr-HR"/>
              </w:rPr>
              <w:tab/>
            </w:r>
            <w:r w:rsidR="009641B8" w:rsidRPr="008154A4">
              <w:rPr>
                <w:rStyle w:val="Hiperveza"/>
                <w:rFonts w:ascii="Times New Roman" w:hAnsi="Times New Roman" w:cs="Times New Roman"/>
                <w:i w:val="0"/>
                <w:noProof/>
                <w:sz w:val="24"/>
                <w:szCs w:val="24"/>
              </w:rPr>
              <w:t>Trendovi pranja novca</w:t>
            </w:r>
            <w:r w:rsidR="009641B8" w:rsidRPr="008154A4">
              <w:rPr>
                <w:rFonts w:ascii="Times New Roman" w:hAnsi="Times New Roman" w:cs="Times New Roman"/>
                <w:i w:val="0"/>
                <w:noProof/>
                <w:webHidden/>
                <w:sz w:val="24"/>
                <w:szCs w:val="24"/>
              </w:rPr>
              <w:tab/>
            </w:r>
            <w:r w:rsidR="009641B8" w:rsidRPr="008154A4">
              <w:rPr>
                <w:rFonts w:ascii="Times New Roman" w:hAnsi="Times New Roman" w:cs="Times New Roman"/>
                <w:i w:val="0"/>
                <w:noProof/>
                <w:webHidden/>
                <w:sz w:val="24"/>
                <w:szCs w:val="24"/>
              </w:rPr>
              <w:fldChar w:fldCharType="begin"/>
            </w:r>
            <w:r w:rsidR="009641B8" w:rsidRPr="008154A4">
              <w:rPr>
                <w:rFonts w:ascii="Times New Roman" w:hAnsi="Times New Roman" w:cs="Times New Roman"/>
                <w:i w:val="0"/>
                <w:noProof/>
                <w:webHidden/>
                <w:sz w:val="24"/>
                <w:szCs w:val="24"/>
              </w:rPr>
              <w:instrText xml:space="preserve"> PAGEREF _Toc153353429 \h </w:instrText>
            </w:r>
            <w:r w:rsidR="009641B8" w:rsidRPr="008154A4">
              <w:rPr>
                <w:rFonts w:ascii="Times New Roman" w:hAnsi="Times New Roman" w:cs="Times New Roman"/>
                <w:i w:val="0"/>
                <w:noProof/>
                <w:webHidden/>
                <w:sz w:val="24"/>
                <w:szCs w:val="24"/>
              </w:rPr>
            </w:r>
            <w:r w:rsidR="009641B8" w:rsidRPr="008154A4">
              <w:rPr>
                <w:rFonts w:ascii="Times New Roman" w:hAnsi="Times New Roman" w:cs="Times New Roman"/>
                <w:i w:val="0"/>
                <w:noProof/>
                <w:webHidden/>
                <w:sz w:val="24"/>
                <w:szCs w:val="24"/>
              </w:rPr>
              <w:fldChar w:fldCharType="separate"/>
            </w:r>
            <w:r w:rsidR="008935FE">
              <w:rPr>
                <w:rFonts w:ascii="Times New Roman" w:hAnsi="Times New Roman" w:cs="Times New Roman"/>
                <w:i w:val="0"/>
                <w:noProof/>
                <w:webHidden/>
                <w:sz w:val="24"/>
                <w:szCs w:val="24"/>
              </w:rPr>
              <w:t>41</w:t>
            </w:r>
            <w:r w:rsidR="009641B8" w:rsidRPr="008154A4">
              <w:rPr>
                <w:rFonts w:ascii="Times New Roman" w:hAnsi="Times New Roman" w:cs="Times New Roman"/>
                <w:i w:val="0"/>
                <w:noProof/>
                <w:webHidden/>
                <w:sz w:val="24"/>
                <w:szCs w:val="24"/>
              </w:rPr>
              <w:fldChar w:fldCharType="end"/>
            </w:r>
          </w:hyperlink>
        </w:p>
        <w:p w14:paraId="17F1C16A" w14:textId="3CC4E4E5" w:rsidR="009641B8" w:rsidRPr="008154A4" w:rsidRDefault="00FE741D">
          <w:pPr>
            <w:pStyle w:val="Sadraj2"/>
            <w:tabs>
              <w:tab w:val="left" w:pos="660"/>
              <w:tab w:val="right" w:leader="dot" w:pos="9016"/>
            </w:tabs>
            <w:rPr>
              <w:rFonts w:ascii="Times New Roman" w:eastAsiaTheme="minorEastAsia" w:hAnsi="Times New Roman" w:cs="Times New Roman"/>
              <w:smallCaps w:val="0"/>
              <w:noProof/>
              <w:sz w:val="24"/>
              <w:szCs w:val="24"/>
              <w:lang w:eastAsia="hr-HR"/>
            </w:rPr>
          </w:pPr>
          <w:hyperlink w:anchor="_Toc153353430" w:history="1">
            <w:r w:rsidR="009641B8" w:rsidRPr="008154A4">
              <w:rPr>
                <w:rStyle w:val="Hiperveza"/>
                <w:rFonts w:ascii="Times New Roman" w:hAnsi="Times New Roman" w:cs="Times New Roman"/>
                <w:noProof/>
                <w:sz w:val="24"/>
                <w:szCs w:val="24"/>
              </w:rPr>
              <w:t>4.</w:t>
            </w:r>
            <w:r w:rsidR="009641B8" w:rsidRPr="008154A4">
              <w:rPr>
                <w:rFonts w:ascii="Times New Roman" w:eastAsiaTheme="minorEastAsia" w:hAnsi="Times New Roman" w:cs="Times New Roman"/>
                <w:smallCaps w:val="0"/>
                <w:noProof/>
                <w:sz w:val="24"/>
                <w:szCs w:val="24"/>
                <w:lang w:eastAsia="hr-HR"/>
              </w:rPr>
              <w:tab/>
            </w:r>
            <w:r w:rsidR="009641B8" w:rsidRPr="008154A4">
              <w:rPr>
                <w:rStyle w:val="Hiperveza"/>
                <w:rFonts w:ascii="Times New Roman" w:hAnsi="Times New Roman" w:cs="Times New Roman"/>
                <w:noProof/>
                <w:sz w:val="24"/>
                <w:szCs w:val="24"/>
              </w:rPr>
              <w:t>PREVENCIJA I NADZOR OBVEZNIKA</w:t>
            </w:r>
            <w:r w:rsidR="009641B8" w:rsidRPr="008154A4">
              <w:rPr>
                <w:rFonts w:ascii="Times New Roman" w:hAnsi="Times New Roman" w:cs="Times New Roman"/>
                <w:noProof/>
                <w:webHidden/>
                <w:sz w:val="24"/>
                <w:szCs w:val="24"/>
              </w:rPr>
              <w:tab/>
            </w:r>
            <w:r w:rsidR="009641B8" w:rsidRPr="008154A4">
              <w:rPr>
                <w:rFonts w:ascii="Times New Roman" w:hAnsi="Times New Roman" w:cs="Times New Roman"/>
                <w:noProof/>
                <w:webHidden/>
                <w:sz w:val="24"/>
                <w:szCs w:val="24"/>
              </w:rPr>
              <w:fldChar w:fldCharType="begin"/>
            </w:r>
            <w:r w:rsidR="009641B8" w:rsidRPr="008154A4">
              <w:rPr>
                <w:rFonts w:ascii="Times New Roman" w:hAnsi="Times New Roman" w:cs="Times New Roman"/>
                <w:noProof/>
                <w:webHidden/>
                <w:sz w:val="24"/>
                <w:szCs w:val="24"/>
              </w:rPr>
              <w:instrText xml:space="preserve"> PAGEREF _Toc153353430 \h </w:instrText>
            </w:r>
            <w:r w:rsidR="009641B8" w:rsidRPr="008154A4">
              <w:rPr>
                <w:rFonts w:ascii="Times New Roman" w:hAnsi="Times New Roman" w:cs="Times New Roman"/>
                <w:noProof/>
                <w:webHidden/>
                <w:sz w:val="24"/>
                <w:szCs w:val="24"/>
              </w:rPr>
            </w:r>
            <w:r w:rsidR="009641B8" w:rsidRPr="008154A4">
              <w:rPr>
                <w:rFonts w:ascii="Times New Roman" w:hAnsi="Times New Roman" w:cs="Times New Roman"/>
                <w:noProof/>
                <w:webHidden/>
                <w:sz w:val="24"/>
                <w:szCs w:val="24"/>
              </w:rPr>
              <w:fldChar w:fldCharType="separate"/>
            </w:r>
            <w:r w:rsidR="008935FE">
              <w:rPr>
                <w:rFonts w:ascii="Times New Roman" w:hAnsi="Times New Roman" w:cs="Times New Roman"/>
                <w:noProof/>
                <w:webHidden/>
                <w:sz w:val="24"/>
                <w:szCs w:val="24"/>
              </w:rPr>
              <w:t>42</w:t>
            </w:r>
            <w:r w:rsidR="009641B8" w:rsidRPr="008154A4">
              <w:rPr>
                <w:rFonts w:ascii="Times New Roman" w:hAnsi="Times New Roman" w:cs="Times New Roman"/>
                <w:noProof/>
                <w:webHidden/>
                <w:sz w:val="24"/>
                <w:szCs w:val="24"/>
              </w:rPr>
              <w:fldChar w:fldCharType="end"/>
            </w:r>
          </w:hyperlink>
        </w:p>
        <w:p w14:paraId="3095ADE4" w14:textId="2966D420" w:rsidR="009641B8" w:rsidRPr="008154A4" w:rsidRDefault="00FE741D">
          <w:pPr>
            <w:pStyle w:val="Sadraj2"/>
            <w:tabs>
              <w:tab w:val="left" w:pos="660"/>
              <w:tab w:val="right" w:leader="dot" w:pos="9016"/>
            </w:tabs>
            <w:rPr>
              <w:rFonts w:ascii="Times New Roman" w:eastAsiaTheme="minorEastAsia" w:hAnsi="Times New Roman" w:cs="Times New Roman"/>
              <w:smallCaps w:val="0"/>
              <w:noProof/>
              <w:sz w:val="24"/>
              <w:szCs w:val="24"/>
              <w:lang w:eastAsia="hr-HR"/>
            </w:rPr>
          </w:pPr>
          <w:hyperlink w:anchor="_Toc153353431" w:history="1">
            <w:r w:rsidR="009641B8" w:rsidRPr="008154A4">
              <w:rPr>
                <w:rStyle w:val="Hiperveza"/>
                <w:rFonts w:ascii="Times New Roman" w:hAnsi="Times New Roman" w:cs="Times New Roman"/>
                <w:noProof/>
                <w:sz w:val="24"/>
                <w:szCs w:val="24"/>
              </w:rPr>
              <w:t>5.</w:t>
            </w:r>
            <w:r w:rsidR="009641B8" w:rsidRPr="008154A4">
              <w:rPr>
                <w:rFonts w:ascii="Times New Roman" w:eastAsiaTheme="minorEastAsia" w:hAnsi="Times New Roman" w:cs="Times New Roman"/>
                <w:smallCaps w:val="0"/>
                <w:noProof/>
                <w:sz w:val="24"/>
                <w:szCs w:val="24"/>
                <w:lang w:eastAsia="hr-HR"/>
              </w:rPr>
              <w:tab/>
            </w:r>
            <w:r w:rsidR="009641B8" w:rsidRPr="008154A4">
              <w:rPr>
                <w:rStyle w:val="Hiperveza"/>
                <w:rFonts w:ascii="Times New Roman" w:hAnsi="Times New Roman" w:cs="Times New Roman"/>
                <w:noProof/>
                <w:sz w:val="24"/>
                <w:szCs w:val="24"/>
              </w:rPr>
              <w:t>MEĐUINSTITUCIONALNA I MEĐUNARODNA SURADNJA UREDA</w:t>
            </w:r>
            <w:r w:rsidR="009641B8" w:rsidRPr="008154A4">
              <w:rPr>
                <w:rFonts w:ascii="Times New Roman" w:hAnsi="Times New Roman" w:cs="Times New Roman"/>
                <w:noProof/>
                <w:webHidden/>
                <w:sz w:val="24"/>
                <w:szCs w:val="24"/>
              </w:rPr>
              <w:tab/>
            </w:r>
            <w:r w:rsidR="009641B8" w:rsidRPr="008154A4">
              <w:rPr>
                <w:rFonts w:ascii="Times New Roman" w:hAnsi="Times New Roman" w:cs="Times New Roman"/>
                <w:noProof/>
                <w:webHidden/>
                <w:sz w:val="24"/>
                <w:szCs w:val="24"/>
              </w:rPr>
              <w:fldChar w:fldCharType="begin"/>
            </w:r>
            <w:r w:rsidR="009641B8" w:rsidRPr="008154A4">
              <w:rPr>
                <w:rFonts w:ascii="Times New Roman" w:hAnsi="Times New Roman" w:cs="Times New Roman"/>
                <w:noProof/>
                <w:webHidden/>
                <w:sz w:val="24"/>
                <w:szCs w:val="24"/>
              </w:rPr>
              <w:instrText xml:space="preserve"> PAGEREF _Toc153353431 \h </w:instrText>
            </w:r>
            <w:r w:rsidR="009641B8" w:rsidRPr="008154A4">
              <w:rPr>
                <w:rFonts w:ascii="Times New Roman" w:hAnsi="Times New Roman" w:cs="Times New Roman"/>
                <w:noProof/>
                <w:webHidden/>
                <w:sz w:val="24"/>
                <w:szCs w:val="24"/>
              </w:rPr>
            </w:r>
            <w:r w:rsidR="009641B8" w:rsidRPr="008154A4">
              <w:rPr>
                <w:rFonts w:ascii="Times New Roman" w:hAnsi="Times New Roman" w:cs="Times New Roman"/>
                <w:noProof/>
                <w:webHidden/>
                <w:sz w:val="24"/>
                <w:szCs w:val="24"/>
              </w:rPr>
              <w:fldChar w:fldCharType="separate"/>
            </w:r>
            <w:r w:rsidR="008935FE">
              <w:rPr>
                <w:rFonts w:ascii="Times New Roman" w:hAnsi="Times New Roman" w:cs="Times New Roman"/>
                <w:noProof/>
                <w:webHidden/>
                <w:sz w:val="24"/>
                <w:szCs w:val="24"/>
              </w:rPr>
              <w:t>48</w:t>
            </w:r>
            <w:r w:rsidR="009641B8" w:rsidRPr="008154A4">
              <w:rPr>
                <w:rFonts w:ascii="Times New Roman" w:hAnsi="Times New Roman" w:cs="Times New Roman"/>
                <w:noProof/>
                <w:webHidden/>
                <w:sz w:val="24"/>
                <w:szCs w:val="24"/>
              </w:rPr>
              <w:fldChar w:fldCharType="end"/>
            </w:r>
          </w:hyperlink>
        </w:p>
        <w:p w14:paraId="793CC802" w14:textId="23DF1317" w:rsidR="009641B8" w:rsidRPr="008154A4" w:rsidRDefault="00FE741D">
          <w:pPr>
            <w:pStyle w:val="Sadraj3"/>
            <w:tabs>
              <w:tab w:val="left" w:pos="1100"/>
              <w:tab w:val="right" w:leader="dot" w:pos="9016"/>
            </w:tabs>
            <w:rPr>
              <w:rFonts w:ascii="Times New Roman" w:eastAsiaTheme="minorEastAsia" w:hAnsi="Times New Roman" w:cs="Times New Roman"/>
              <w:i w:val="0"/>
              <w:iCs w:val="0"/>
              <w:noProof/>
              <w:sz w:val="24"/>
              <w:szCs w:val="24"/>
              <w:lang w:eastAsia="hr-HR"/>
            </w:rPr>
          </w:pPr>
          <w:hyperlink w:anchor="_Toc153353432" w:history="1">
            <w:r w:rsidR="009641B8" w:rsidRPr="008154A4">
              <w:rPr>
                <w:rStyle w:val="Hiperveza"/>
                <w:rFonts w:ascii="Times New Roman" w:hAnsi="Times New Roman" w:cs="Times New Roman"/>
                <w:i w:val="0"/>
                <w:noProof/>
                <w:sz w:val="24"/>
                <w:szCs w:val="24"/>
              </w:rPr>
              <w:t>5.1.</w:t>
            </w:r>
            <w:r w:rsidR="009641B8" w:rsidRPr="008154A4">
              <w:rPr>
                <w:rFonts w:ascii="Times New Roman" w:eastAsiaTheme="minorEastAsia" w:hAnsi="Times New Roman" w:cs="Times New Roman"/>
                <w:i w:val="0"/>
                <w:iCs w:val="0"/>
                <w:noProof/>
                <w:sz w:val="24"/>
                <w:szCs w:val="24"/>
                <w:lang w:eastAsia="hr-HR"/>
              </w:rPr>
              <w:tab/>
            </w:r>
            <w:r w:rsidR="009641B8" w:rsidRPr="008154A4">
              <w:rPr>
                <w:rStyle w:val="Hiperveza"/>
                <w:rFonts w:ascii="Times New Roman" w:hAnsi="Times New Roman" w:cs="Times New Roman"/>
                <w:i w:val="0"/>
                <w:noProof/>
                <w:sz w:val="24"/>
                <w:szCs w:val="24"/>
              </w:rPr>
              <w:t>Međuinstitucionalna suradnja Ureda</w:t>
            </w:r>
            <w:r w:rsidR="009641B8" w:rsidRPr="008154A4">
              <w:rPr>
                <w:rFonts w:ascii="Times New Roman" w:hAnsi="Times New Roman" w:cs="Times New Roman"/>
                <w:i w:val="0"/>
                <w:noProof/>
                <w:webHidden/>
                <w:sz w:val="24"/>
                <w:szCs w:val="24"/>
              </w:rPr>
              <w:tab/>
            </w:r>
            <w:r w:rsidR="009641B8" w:rsidRPr="008154A4">
              <w:rPr>
                <w:rFonts w:ascii="Times New Roman" w:hAnsi="Times New Roman" w:cs="Times New Roman"/>
                <w:i w:val="0"/>
                <w:noProof/>
                <w:webHidden/>
                <w:sz w:val="24"/>
                <w:szCs w:val="24"/>
              </w:rPr>
              <w:fldChar w:fldCharType="begin"/>
            </w:r>
            <w:r w:rsidR="009641B8" w:rsidRPr="008154A4">
              <w:rPr>
                <w:rFonts w:ascii="Times New Roman" w:hAnsi="Times New Roman" w:cs="Times New Roman"/>
                <w:i w:val="0"/>
                <w:noProof/>
                <w:webHidden/>
                <w:sz w:val="24"/>
                <w:szCs w:val="24"/>
              </w:rPr>
              <w:instrText xml:space="preserve"> PAGEREF _Toc153353432 \h </w:instrText>
            </w:r>
            <w:r w:rsidR="009641B8" w:rsidRPr="008154A4">
              <w:rPr>
                <w:rFonts w:ascii="Times New Roman" w:hAnsi="Times New Roman" w:cs="Times New Roman"/>
                <w:i w:val="0"/>
                <w:noProof/>
                <w:webHidden/>
                <w:sz w:val="24"/>
                <w:szCs w:val="24"/>
              </w:rPr>
            </w:r>
            <w:r w:rsidR="009641B8" w:rsidRPr="008154A4">
              <w:rPr>
                <w:rFonts w:ascii="Times New Roman" w:hAnsi="Times New Roman" w:cs="Times New Roman"/>
                <w:i w:val="0"/>
                <w:noProof/>
                <w:webHidden/>
                <w:sz w:val="24"/>
                <w:szCs w:val="24"/>
              </w:rPr>
              <w:fldChar w:fldCharType="separate"/>
            </w:r>
            <w:r w:rsidR="008935FE">
              <w:rPr>
                <w:rFonts w:ascii="Times New Roman" w:hAnsi="Times New Roman" w:cs="Times New Roman"/>
                <w:i w:val="0"/>
                <w:noProof/>
                <w:webHidden/>
                <w:sz w:val="24"/>
                <w:szCs w:val="24"/>
              </w:rPr>
              <w:t>48</w:t>
            </w:r>
            <w:r w:rsidR="009641B8" w:rsidRPr="008154A4">
              <w:rPr>
                <w:rFonts w:ascii="Times New Roman" w:hAnsi="Times New Roman" w:cs="Times New Roman"/>
                <w:i w:val="0"/>
                <w:noProof/>
                <w:webHidden/>
                <w:sz w:val="24"/>
                <w:szCs w:val="24"/>
              </w:rPr>
              <w:fldChar w:fldCharType="end"/>
            </w:r>
          </w:hyperlink>
        </w:p>
        <w:p w14:paraId="2BD2002B" w14:textId="60CB957C" w:rsidR="009641B8" w:rsidRPr="008154A4" w:rsidRDefault="00FE741D">
          <w:pPr>
            <w:pStyle w:val="Sadraj3"/>
            <w:tabs>
              <w:tab w:val="left" w:pos="1100"/>
              <w:tab w:val="right" w:leader="dot" w:pos="9016"/>
            </w:tabs>
            <w:rPr>
              <w:rFonts w:ascii="Times New Roman" w:eastAsiaTheme="minorEastAsia" w:hAnsi="Times New Roman" w:cs="Times New Roman"/>
              <w:i w:val="0"/>
              <w:iCs w:val="0"/>
              <w:noProof/>
              <w:sz w:val="24"/>
              <w:szCs w:val="24"/>
              <w:lang w:eastAsia="hr-HR"/>
            </w:rPr>
          </w:pPr>
          <w:hyperlink w:anchor="_Toc153353433" w:history="1">
            <w:r w:rsidR="009641B8" w:rsidRPr="008154A4">
              <w:rPr>
                <w:rStyle w:val="Hiperveza"/>
                <w:rFonts w:ascii="Times New Roman" w:hAnsi="Times New Roman" w:cs="Times New Roman"/>
                <w:i w:val="0"/>
                <w:noProof/>
                <w:sz w:val="24"/>
                <w:szCs w:val="24"/>
              </w:rPr>
              <w:t>5.2.</w:t>
            </w:r>
            <w:r w:rsidR="009641B8" w:rsidRPr="008154A4">
              <w:rPr>
                <w:rFonts w:ascii="Times New Roman" w:eastAsiaTheme="minorEastAsia" w:hAnsi="Times New Roman" w:cs="Times New Roman"/>
                <w:i w:val="0"/>
                <w:iCs w:val="0"/>
                <w:noProof/>
                <w:sz w:val="24"/>
                <w:szCs w:val="24"/>
                <w:lang w:eastAsia="hr-HR"/>
              </w:rPr>
              <w:tab/>
            </w:r>
            <w:r w:rsidR="009641B8" w:rsidRPr="008154A4">
              <w:rPr>
                <w:rStyle w:val="Hiperveza"/>
                <w:rFonts w:ascii="Times New Roman" w:hAnsi="Times New Roman" w:cs="Times New Roman"/>
                <w:i w:val="0"/>
                <w:noProof/>
                <w:sz w:val="24"/>
                <w:szCs w:val="24"/>
              </w:rPr>
              <w:t>Provedba Akcijskog plana Vlade Republike Hrvatske</w:t>
            </w:r>
            <w:r w:rsidR="009641B8" w:rsidRPr="008154A4">
              <w:rPr>
                <w:rFonts w:ascii="Times New Roman" w:hAnsi="Times New Roman" w:cs="Times New Roman"/>
                <w:i w:val="0"/>
                <w:noProof/>
                <w:webHidden/>
                <w:sz w:val="24"/>
                <w:szCs w:val="24"/>
              </w:rPr>
              <w:tab/>
            </w:r>
            <w:r w:rsidR="009641B8" w:rsidRPr="008154A4">
              <w:rPr>
                <w:rFonts w:ascii="Times New Roman" w:hAnsi="Times New Roman" w:cs="Times New Roman"/>
                <w:i w:val="0"/>
                <w:noProof/>
                <w:webHidden/>
                <w:sz w:val="24"/>
                <w:szCs w:val="24"/>
              </w:rPr>
              <w:fldChar w:fldCharType="begin"/>
            </w:r>
            <w:r w:rsidR="009641B8" w:rsidRPr="008154A4">
              <w:rPr>
                <w:rFonts w:ascii="Times New Roman" w:hAnsi="Times New Roman" w:cs="Times New Roman"/>
                <w:i w:val="0"/>
                <w:noProof/>
                <w:webHidden/>
                <w:sz w:val="24"/>
                <w:szCs w:val="24"/>
              </w:rPr>
              <w:instrText xml:space="preserve"> PAGEREF _Toc153353433 \h </w:instrText>
            </w:r>
            <w:r w:rsidR="009641B8" w:rsidRPr="008154A4">
              <w:rPr>
                <w:rFonts w:ascii="Times New Roman" w:hAnsi="Times New Roman" w:cs="Times New Roman"/>
                <w:i w:val="0"/>
                <w:noProof/>
                <w:webHidden/>
                <w:sz w:val="24"/>
                <w:szCs w:val="24"/>
              </w:rPr>
            </w:r>
            <w:r w:rsidR="009641B8" w:rsidRPr="008154A4">
              <w:rPr>
                <w:rFonts w:ascii="Times New Roman" w:hAnsi="Times New Roman" w:cs="Times New Roman"/>
                <w:i w:val="0"/>
                <w:noProof/>
                <w:webHidden/>
                <w:sz w:val="24"/>
                <w:szCs w:val="24"/>
              </w:rPr>
              <w:fldChar w:fldCharType="separate"/>
            </w:r>
            <w:r w:rsidR="008935FE">
              <w:rPr>
                <w:rFonts w:ascii="Times New Roman" w:hAnsi="Times New Roman" w:cs="Times New Roman"/>
                <w:i w:val="0"/>
                <w:noProof/>
                <w:webHidden/>
                <w:sz w:val="24"/>
                <w:szCs w:val="24"/>
              </w:rPr>
              <w:t>48</w:t>
            </w:r>
            <w:r w:rsidR="009641B8" w:rsidRPr="008154A4">
              <w:rPr>
                <w:rFonts w:ascii="Times New Roman" w:hAnsi="Times New Roman" w:cs="Times New Roman"/>
                <w:i w:val="0"/>
                <w:noProof/>
                <w:webHidden/>
                <w:sz w:val="24"/>
                <w:szCs w:val="24"/>
              </w:rPr>
              <w:fldChar w:fldCharType="end"/>
            </w:r>
          </w:hyperlink>
        </w:p>
        <w:p w14:paraId="325D4CCF" w14:textId="1A590B86" w:rsidR="009641B8" w:rsidRPr="008154A4" w:rsidRDefault="00FE741D">
          <w:pPr>
            <w:pStyle w:val="Sadraj3"/>
            <w:tabs>
              <w:tab w:val="left" w:pos="1100"/>
              <w:tab w:val="right" w:leader="dot" w:pos="9016"/>
            </w:tabs>
            <w:rPr>
              <w:rFonts w:ascii="Times New Roman" w:eastAsiaTheme="minorEastAsia" w:hAnsi="Times New Roman" w:cs="Times New Roman"/>
              <w:i w:val="0"/>
              <w:iCs w:val="0"/>
              <w:noProof/>
              <w:sz w:val="24"/>
              <w:szCs w:val="24"/>
              <w:lang w:eastAsia="hr-HR"/>
            </w:rPr>
          </w:pPr>
          <w:hyperlink w:anchor="_Toc153353434" w:history="1">
            <w:r w:rsidR="009641B8" w:rsidRPr="008154A4">
              <w:rPr>
                <w:rStyle w:val="Hiperveza"/>
                <w:rFonts w:ascii="Times New Roman" w:hAnsi="Times New Roman" w:cs="Times New Roman"/>
                <w:i w:val="0"/>
                <w:noProof/>
                <w:sz w:val="24"/>
                <w:szCs w:val="24"/>
              </w:rPr>
              <w:t>5.3.</w:t>
            </w:r>
            <w:r w:rsidR="009641B8" w:rsidRPr="008154A4">
              <w:rPr>
                <w:rFonts w:ascii="Times New Roman" w:eastAsiaTheme="minorEastAsia" w:hAnsi="Times New Roman" w:cs="Times New Roman"/>
                <w:i w:val="0"/>
                <w:iCs w:val="0"/>
                <w:noProof/>
                <w:sz w:val="24"/>
                <w:szCs w:val="24"/>
                <w:lang w:eastAsia="hr-HR"/>
              </w:rPr>
              <w:tab/>
            </w:r>
            <w:r w:rsidR="009641B8" w:rsidRPr="008154A4">
              <w:rPr>
                <w:rStyle w:val="Hiperveza"/>
                <w:rFonts w:ascii="Times New Roman" w:hAnsi="Times New Roman" w:cs="Times New Roman"/>
                <w:i w:val="0"/>
                <w:noProof/>
                <w:sz w:val="24"/>
                <w:szCs w:val="24"/>
              </w:rPr>
              <w:t>Međunarodne aktivnosti Ureda</w:t>
            </w:r>
            <w:r w:rsidR="009641B8" w:rsidRPr="008154A4">
              <w:rPr>
                <w:rFonts w:ascii="Times New Roman" w:hAnsi="Times New Roman" w:cs="Times New Roman"/>
                <w:i w:val="0"/>
                <w:noProof/>
                <w:webHidden/>
                <w:sz w:val="24"/>
                <w:szCs w:val="24"/>
              </w:rPr>
              <w:tab/>
            </w:r>
            <w:r w:rsidR="009641B8" w:rsidRPr="008154A4">
              <w:rPr>
                <w:rFonts w:ascii="Times New Roman" w:hAnsi="Times New Roman" w:cs="Times New Roman"/>
                <w:i w:val="0"/>
                <w:noProof/>
                <w:webHidden/>
                <w:sz w:val="24"/>
                <w:szCs w:val="24"/>
              </w:rPr>
              <w:fldChar w:fldCharType="begin"/>
            </w:r>
            <w:r w:rsidR="009641B8" w:rsidRPr="008154A4">
              <w:rPr>
                <w:rFonts w:ascii="Times New Roman" w:hAnsi="Times New Roman" w:cs="Times New Roman"/>
                <w:i w:val="0"/>
                <w:noProof/>
                <w:webHidden/>
                <w:sz w:val="24"/>
                <w:szCs w:val="24"/>
              </w:rPr>
              <w:instrText xml:space="preserve"> PAGEREF _Toc153353434 \h </w:instrText>
            </w:r>
            <w:r w:rsidR="009641B8" w:rsidRPr="008154A4">
              <w:rPr>
                <w:rFonts w:ascii="Times New Roman" w:hAnsi="Times New Roman" w:cs="Times New Roman"/>
                <w:i w:val="0"/>
                <w:noProof/>
                <w:webHidden/>
                <w:sz w:val="24"/>
                <w:szCs w:val="24"/>
              </w:rPr>
            </w:r>
            <w:r w:rsidR="009641B8" w:rsidRPr="008154A4">
              <w:rPr>
                <w:rFonts w:ascii="Times New Roman" w:hAnsi="Times New Roman" w:cs="Times New Roman"/>
                <w:i w:val="0"/>
                <w:noProof/>
                <w:webHidden/>
                <w:sz w:val="24"/>
                <w:szCs w:val="24"/>
              </w:rPr>
              <w:fldChar w:fldCharType="separate"/>
            </w:r>
            <w:r w:rsidR="008935FE">
              <w:rPr>
                <w:rFonts w:ascii="Times New Roman" w:hAnsi="Times New Roman" w:cs="Times New Roman"/>
                <w:i w:val="0"/>
                <w:noProof/>
                <w:webHidden/>
                <w:sz w:val="24"/>
                <w:szCs w:val="24"/>
              </w:rPr>
              <w:t>49</w:t>
            </w:r>
            <w:r w:rsidR="009641B8" w:rsidRPr="008154A4">
              <w:rPr>
                <w:rFonts w:ascii="Times New Roman" w:hAnsi="Times New Roman" w:cs="Times New Roman"/>
                <w:i w:val="0"/>
                <w:noProof/>
                <w:webHidden/>
                <w:sz w:val="24"/>
                <w:szCs w:val="24"/>
              </w:rPr>
              <w:fldChar w:fldCharType="end"/>
            </w:r>
          </w:hyperlink>
        </w:p>
        <w:p w14:paraId="73840976" w14:textId="42DB8113" w:rsidR="00BE5ABC" w:rsidRPr="009641B8" w:rsidRDefault="00BE5ABC">
          <w:pPr>
            <w:rPr>
              <w:rFonts w:ascii="Times New Roman" w:hAnsi="Times New Roman" w:cs="Times New Roman"/>
              <w:i/>
              <w:sz w:val="24"/>
              <w:szCs w:val="24"/>
            </w:rPr>
          </w:pPr>
          <w:r w:rsidRPr="008154A4">
            <w:rPr>
              <w:rFonts w:ascii="Times New Roman" w:hAnsi="Times New Roman" w:cs="Times New Roman"/>
              <w:b/>
              <w:bCs/>
              <w:sz w:val="24"/>
              <w:szCs w:val="24"/>
            </w:rPr>
            <w:fldChar w:fldCharType="end"/>
          </w:r>
        </w:p>
      </w:sdtContent>
    </w:sdt>
    <w:p w14:paraId="6751C0F6" w14:textId="5502199E" w:rsidR="002819D1" w:rsidRPr="008154A4" w:rsidRDefault="00BE7B6C" w:rsidP="008154A4">
      <w:pPr>
        <w:rPr>
          <w:rFonts w:ascii="Times New Roman" w:eastAsia="Calibri" w:hAnsi="Times New Roman" w:cs="Times New Roman"/>
          <w:iCs/>
          <w:sz w:val="24"/>
          <w:szCs w:val="24"/>
          <w:lang w:eastAsia="hr-HR"/>
        </w:rPr>
      </w:pPr>
      <w:r>
        <w:rPr>
          <w:rFonts w:ascii="Times New Roman" w:eastAsia="Calibri" w:hAnsi="Times New Roman" w:cs="Times New Roman"/>
          <w:iCs/>
          <w:sz w:val="24"/>
          <w:szCs w:val="24"/>
          <w:lang w:eastAsia="hr-HR"/>
        </w:rPr>
        <w:br w:type="page"/>
      </w:r>
      <w:r w:rsidR="002819D1">
        <w:rPr>
          <w:rFonts w:ascii="Times New Roman" w:hAnsi="Times New Roman" w:cs="Times New Roman"/>
          <w:sz w:val="24"/>
          <w:szCs w:val="24"/>
        </w:rPr>
        <w:lastRenderedPageBreak/>
        <w:t>UVOD</w:t>
      </w:r>
    </w:p>
    <w:p w14:paraId="1B1AD171" w14:textId="77777777" w:rsidR="002819D1" w:rsidRPr="002819D1" w:rsidRDefault="002819D1" w:rsidP="002819D1">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p>
    <w:p w14:paraId="6EE190DF" w14:textId="74BE69A8" w:rsidR="002819D1" w:rsidRPr="002819D1" w:rsidRDefault="002819D1" w:rsidP="002819D1">
      <w:pPr>
        <w:spacing w:beforeLines="30" w:before="72" w:afterLines="30" w:after="72" w:line="240" w:lineRule="auto"/>
        <w:jc w:val="both"/>
        <w:textAlignment w:val="baseline"/>
        <w:rPr>
          <w:rFonts w:ascii="Times New Roman" w:hAnsi="Times New Roman" w:cs="Times New Roman"/>
          <w:color w:val="231F20"/>
          <w:sz w:val="24"/>
          <w:szCs w:val="24"/>
          <w:lang w:eastAsia="hr-HR"/>
        </w:rPr>
      </w:pPr>
      <w:r w:rsidRPr="002819D1">
        <w:rPr>
          <w:rFonts w:ascii="Times New Roman" w:eastAsia="Times New Roman" w:hAnsi="Times New Roman" w:cs="Times New Roman"/>
          <w:bCs/>
          <w:sz w:val="24"/>
          <w:szCs w:val="24"/>
          <w:lang w:eastAsia="hr-HR"/>
        </w:rPr>
        <w:t xml:space="preserve">Zakonom o sprječavanju pranja novca i financiranja terorizma („Narodne novine“ broj </w:t>
      </w:r>
      <w:r w:rsidRPr="002819D1">
        <w:rPr>
          <w:rFonts w:ascii="Times New Roman" w:hAnsi="Times New Roman" w:cs="Times New Roman"/>
          <w:sz w:val="24"/>
          <w:szCs w:val="24"/>
        </w:rPr>
        <w:t>108/17, 39/19 i 151/22</w:t>
      </w:r>
      <w:r w:rsidR="00982F54">
        <w:rPr>
          <w:rFonts w:ascii="Times New Roman" w:hAnsi="Times New Roman" w:cs="Times New Roman"/>
          <w:sz w:val="24"/>
          <w:szCs w:val="24"/>
        </w:rPr>
        <w:t xml:space="preserve">, </w:t>
      </w:r>
      <w:r w:rsidRPr="002819D1">
        <w:rPr>
          <w:rFonts w:ascii="Times New Roman" w:hAnsi="Times New Roman" w:cs="Times New Roman"/>
          <w:sz w:val="24"/>
          <w:szCs w:val="24"/>
        </w:rPr>
        <w:t>u daljnjem tekstu: Zakon)</w:t>
      </w:r>
      <w:r w:rsidRPr="002819D1">
        <w:rPr>
          <w:rFonts w:ascii="Times New Roman" w:eastAsia="Times New Roman" w:hAnsi="Times New Roman" w:cs="Times New Roman"/>
          <w:bCs/>
          <w:sz w:val="24"/>
          <w:szCs w:val="24"/>
          <w:lang w:eastAsia="hr-HR"/>
        </w:rPr>
        <w:t>, Ured za sprječavanje pranja novca (u daljnjem tekstu: Ured) definiran je kao</w:t>
      </w:r>
      <w:r w:rsidRPr="002819D1">
        <w:rPr>
          <w:rFonts w:ascii="Times New Roman" w:eastAsia="Times New Roman" w:hAnsi="Times New Roman" w:cs="Times New Roman"/>
          <w:b/>
          <w:bCs/>
          <w:sz w:val="24"/>
          <w:szCs w:val="24"/>
          <w:lang w:eastAsia="hr-HR"/>
        </w:rPr>
        <w:t xml:space="preserve"> </w:t>
      </w:r>
      <w:r w:rsidRPr="002819D1">
        <w:rPr>
          <w:rFonts w:ascii="Times New Roman" w:eastAsia="Times New Roman" w:hAnsi="Times New Roman" w:cs="Times New Roman"/>
          <w:color w:val="231F20"/>
          <w:sz w:val="24"/>
          <w:szCs w:val="24"/>
          <w:lang w:eastAsia="hr-HR"/>
        </w:rPr>
        <w:t xml:space="preserve">središnja nacionalna administrativna jedinica nadležna za primanje i analiziranje obavijesti o sumnjivim transakcijama i drugih informacija propisanih Zakonom u vezi s pranjem novca, povezanim predikatnim kaznenim djelima i financiranjem terorizma </w:t>
      </w:r>
      <w:r w:rsidR="00982F54">
        <w:rPr>
          <w:rFonts w:ascii="Times New Roman" w:eastAsia="Times New Roman" w:hAnsi="Times New Roman" w:cs="Times New Roman"/>
          <w:color w:val="231F20"/>
          <w:sz w:val="24"/>
          <w:szCs w:val="24"/>
          <w:lang w:eastAsia="hr-HR"/>
        </w:rPr>
        <w:t>koji</w:t>
      </w:r>
      <w:r w:rsidRPr="002819D1">
        <w:rPr>
          <w:rFonts w:ascii="Times New Roman" w:eastAsia="Times New Roman" w:hAnsi="Times New Roman" w:cs="Times New Roman"/>
          <w:color w:val="231F20"/>
          <w:sz w:val="24"/>
          <w:szCs w:val="24"/>
          <w:lang w:eastAsia="hr-HR"/>
        </w:rPr>
        <w:t xml:space="preserve"> dostavlja rezultata svojih operativnih analiza</w:t>
      </w:r>
      <w:r w:rsidR="00982F54">
        <w:rPr>
          <w:rFonts w:ascii="Times New Roman" w:eastAsia="Times New Roman" w:hAnsi="Times New Roman" w:cs="Times New Roman"/>
          <w:color w:val="231F20"/>
          <w:sz w:val="24"/>
          <w:szCs w:val="24"/>
          <w:lang w:eastAsia="hr-HR"/>
        </w:rPr>
        <w:t>,</w:t>
      </w:r>
      <w:r w:rsidR="009641B8">
        <w:rPr>
          <w:rFonts w:ascii="Times New Roman" w:eastAsia="Times New Roman" w:hAnsi="Times New Roman" w:cs="Times New Roman"/>
          <w:color w:val="231F20"/>
          <w:sz w:val="24"/>
          <w:szCs w:val="24"/>
          <w:lang w:eastAsia="hr-HR"/>
        </w:rPr>
        <w:t xml:space="preserve"> kao financijsko-obavještajne podatake i sve druge relevantne informacije</w:t>
      </w:r>
      <w:r w:rsidR="00982F54">
        <w:rPr>
          <w:rFonts w:ascii="Times New Roman" w:eastAsia="Times New Roman" w:hAnsi="Times New Roman" w:cs="Times New Roman"/>
          <w:color w:val="231F20"/>
          <w:sz w:val="24"/>
          <w:szCs w:val="24"/>
          <w:lang w:eastAsia="hr-HR"/>
        </w:rPr>
        <w:t>,</w:t>
      </w:r>
      <w:r w:rsidRPr="002819D1">
        <w:rPr>
          <w:rFonts w:ascii="Times New Roman" w:eastAsia="Times New Roman" w:hAnsi="Times New Roman" w:cs="Times New Roman"/>
          <w:color w:val="231F20"/>
          <w:sz w:val="24"/>
          <w:szCs w:val="24"/>
          <w:lang w:eastAsia="hr-HR"/>
        </w:rPr>
        <w:t xml:space="preserve"> nadležnim tijelima na daljnje postupanje i procesuiranje kada utvrdi da u konkretnom slučaju postoje razlozi za sumnju na pranje novca i/ili financiranje terorizma. Odredbom članka 99. stavak 4. Zakona propisano je da Ured </w:t>
      </w:r>
      <w:r w:rsidRPr="002819D1">
        <w:rPr>
          <w:rFonts w:ascii="Times New Roman" w:hAnsi="Times New Roman" w:cs="Times New Roman"/>
          <w:color w:val="231F20"/>
          <w:sz w:val="24"/>
          <w:szCs w:val="24"/>
          <w:lang w:eastAsia="hr-HR"/>
        </w:rPr>
        <w:t xml:space="preserve">putem Ministarstva financija podnosi Vladi Republike Hrvatske izvještaj o radu jednom godišnje. </w:t>
      </w:r>
    </w:p>
    <w:p w14:paraId="5E7FBD63" w14:textId="77777777" w:rsidR="002819D1" w:rsidRPr="002819D1" w:rsidRDefault="002819D1" w:rsidP="002819D1">
      <w:pPr>
        <w:spacing w:beforeLines="30" w:before="72" w:afterLines="30" w:after="72" w:line="240" w:lineRule="auto"/>
        <w:jc w:val="both"/>
        <w:textAlignment w:val="baseline"/>
        <w:rPr>
          <w:rFonts w:ascii="Times New Roman" w:eastAsia="Times New Roman" w:hAnsi="Times New Roman" w:cs="Times New Roman"/>
          <w:color w:val="231F20"/>
          <w:sz w:val="24"/>
          <w:szCs w:val="24"/>
          <w:lang w:eastAsia="hr-HR"/>
        </w:rPr>
      </w:pPr>
    </w:p>
    <w:p w14:paraId="65915AE6" w14:textId="5A114714" w:rsidR="002819D1" w:rsidRPr="002819D1" w:rsidRDefault="002819D1" w:rsidP="002819D1">
      <w:pPr>
        <w:spacing w:beforeLines="30" w:before="72" w:afterLines="30" w:after="72" w:line="240" w:lineRule="auto"/>
        <w:jc w:val="both"/>
        <w:textAlignment w:val="baseline"/>
        <w:rPr>
          <w:rFonts w:ascii="Times New Roman" w:eastAsia="Times New Roman" w:hAnsi="Times New Roman" w:cs="Times New Roman"/>
          <w:color w:val="231F20"/>
          <w:sz w:val="24"/>
          <w:szCs w:val="24"/>
          <w:lang w:eastAsia="hr-HR"/>
        </w:rPr>
      </w:pPr>
      <w:r w:rsidRPr="002819D1">
        <w:rPr>
          <w:rFonts w:ascii="Times New Roman" w:eastAsia="Times New Roman" w:hAnsi="Times New Roman" w:cs="Times New Roman"/>
          <w:color w:val="231F20"/>
          <w:sz w:val="24"/>
          <w:szCs w:val="24"/>
          <w:lang w:eastAsia="hr-HR"/>
        </w:rPr>
        <w:t>U godišnjem izvješću navode se statistički poda</w:t>
      </w:r>
      <w:r w:rsidR="00982F54">
        <w:rPr>
          <w:rFonts w:ascii="Times New Roman" w:eastAsia="Times New Roman" w:hAnsi="Times New Roman" w:cs="Times New Roman"/>
          <w:color w:val="231F20"/>
          <w:sz w:val="24"/>
          <w:szCs w:val="24"/>
          <w:lang w:eastAsia="hr-HR"/>
        </w:rPr>
        <w:t>t</w:t>
      </w:r>
      <w:r w:rsidRPr="002819D1">
        <w:rPr>
          <w:rFonts w:ascii="Times New Roman" w:eastAsia="Times New Roman" w:hAnsi="Times New Roman" w:cs="Times New Roman"/>
          <w:color w:val="231F20"/>
          <w:sz w:val="24"/>
          <w:szCs w:val="24"/>
          <w:lang w:eastAsia="hr-HR"/>
        </w:rPr>
        <w:t>ci o:</w:t>
      </w:r>
      <w:r w:rsidRPr="002819D1">
        <w:rPr>
          <w:rFonts w:ascii="Times New Roman" w:eastAsia="Calibri" w:hAnsi="Times New Roman" w:cs="Times New Roman"/>
          <w:bCs/>
          <w:iCs/>
          <w:sz w:val="24"/>
          <w:szCs w:val="24"/>
        </w:rPr>
        <w:t xml:space="preserve"> zaprimljenim obavijestima o sumnjivim i gotovinskim transakcijama od banaka i drugih obveznika, zaprimljenim obavijestima sa sumnjom na pranje novca i financiranje terorizma od državnih tijela i inozemnih financijsko-obavještajnih jedinica, otvorenim analitičkim predmetima i rezultatima </w:t>
      </w:r>
      <w:r w:rsidRPr="002819D1">
        <w:rPr>
          <w:rFonts w:ascii="Times New Roman" w:eastAsia="Times New Roman" w:hAnsi="Times New Roman" w:cs="Times New Roman"/>
          <w:color w:val="231F20"/>
          <w:sz w:val="24"/>
          <w:szCs w:val="24"/>
          <w:lang w:eastAsia="hr-HR"/>
        </w:rPr>
        <w:t xml:space="preserve">analitičko-obavještajnog rada Ureda, blokadama sumnjivih transakcija, slučajevima </w:t>
      </w:r>
      <w:r w:rsidRPr="002819D1">
        <w:rPr>
          <w:rFonts w:ascii="Times New Roman" w:eastAsia="Calibri" w:hAnsi="Times New Roman" w:cs="Times New Roman"/>
          <w:bCs/>
          <w:iCs/>
          <w:sz w:val="24"/>
          <w:szCs w:val="24"/>
        </w:rPr>
        <w:t xml:space="preserve">sa sumnjom na pranje novca i financiranje terorizma dostavljenih od strane Ureda nadležnim tijelima na daljnje postupanje i procesuiranje </w:t>
      </w:r>
      <w:r w:rsidRPr="002819D1">
        <w:rPr>
          <w:rFonts w:ascii="Times New Roman" w:eastAsia="Calibri" w:hAnsi="Times New Roman" w:cs="Times New Roman"/>
          <w:bCs/>
          <w:sz w:val="24"/>
          <w:szCs w:val="24"/>
        </w:rPr>
        <w:t>u cilju utvrđivanja nezakonitog karaktera sredstava analiziranih u sumnjivim transakcijama</w:t>
      </w:r>
      <w:r w:rsidRPr="002819D1">
        <w:rPr>
          <w:rFonts w:ascii="Times New Roman" w:eastAsia="Times New Roman" w:hAnsi="Times New Roman" w:cs="Times New Roman"/>
          <w:color w:val="231F20"/>
          <w:sz w:val="24"/>
          <w:szCs w:val="24"/>
          <w:lang w:eastAsia="hr-HR"/>
        </w:rPr>
        <w:t xml:space="preserve">, </w:t>
      </w:r>
      <w:r w:rsidRPr="002819D1">
        <w:rPr>
          <w:rFonts w:ascii="Times New Roman" w:eastAsia="Calibri" w:hAnsi="Times New Roman" w:cs="Times New Roman"/>
          <w:bCs/>
          <w:iCs/>
          <w:sz w:val="24"/>
          <w:szCs w:val="24"/>
        </w:rPr>
        <w:t>međunarodnoj razmjeni podataka u konkretnim slučajevima pranja novca i financiranja terorizma.</w:t>
      </w:r>
    </w:p>
    <w:p w14:paraId="145924E4" w14:textId="77777777" w:rsidR="002819D1" w:rsidRPr="002819D1" w:rsidRDefault="002819D1" w:rsidP="002819D1">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3AE8F18E" w14:textId="77777777" w:rsidR="002819D1" w:rsidRPr="002819D1" w:rsidRDefault="002819D1" w:rsidP="002819D1">
      <w:pPr>
        <w:spacing w:beforeLines="30" w:before="72" w:afterLines="30" w:after="72" w:line="240" w:lineRule="auto"/>
        <w:jc w:val="both"/>
        <w:textAlignment w:val="baseline"/>
        <w:rPr>
          <w:rFonts w:ascii="Times New Roman" w:eastAsia="Times New Roman" w:hAnsi="Times New Roman" w:cs="Times New Roman"/>
          <w:b/>
          <w:bCs/>
          <w:sz w:val="24"/>
          <w:szCs w:val="24"/>
          <w:lang w:eastAsia="hr-HR"/>
        </w:rPr>
      </w:pPr>
      <w:r w:rsidRPr="002819D1">
        <w:rPr>
          <w:rFonts w:ascii="Times New Roman" w:hAnsi="Times New Roman" w:cs="Times New Roman"/>
          <w:sz w:val="24"/>
          <w:szCs w:val="24"/>
        </w:rPr>
        <w:t>Osim navedenih podataka, u ovom izvješću navode se</w:t>
      </w:r>
      <w:r w:rsidRPr="002819D1">
        <w:rPr>
          <w:rFonts w:ascii="Times New Roman" w:hAnsi="Times New Roman" w:cs="Times New Roman"/>
          <w:color w:val="231F20"/>
          <w:sz w:val="24"/>
          <w:szCs w:val="24"/>
          <w:lang w:eastAsia="hr-HR"/>
        </w:rPr>
        <w:t xml:space="preserve"> sažeti anonimni primjeri konkretnih slučajeva sa sumnjom na pranje novca i financiranje terorizma koje je Ured dostavio nadležnim državnim tijelima i inozemnim financijsko-obavještajnim jedinicama na daljnje postupanje i procesuiranje, informacije o tipologijama i trendovima pranja novca, podaci o aktivnostima na području prevencije i neizravnog nadzora obveznika te na području međuinstitucionalne i međunarodne suradnje.</w:t>
      </w:r>
    </w:p>
    <w:p w14:paraId="1587AD4E" w14:textId="77777777" w:rsidR="002819D1" w:rsidRPr="002819D1" w:rsidRDefault="002819D1" w:rsidP="002819D1">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11103F36" w14:textId="77777777" w:rsidR="002819D1" w:rsidRPr="002819D1" w:rsidRDefault="002819D1" w:rsidP="002819D1">
      <w:pPr>
        <w:shd w:val="clear" w:color="auto" w:fill="FFFFFF"/>
        <w:spacing w:after="14" w:line="240" w:lineRule="auto"/>
        <w:jc w:val="both"/>
        <w:rPr>
          <w:rFonts w:ascii="Times New Roman" w:eastAsia="Calibri" w:hAnsi="Times New Roman" w:cs="Times New Roman"/>
          <w:bCs/>
          <w:sz w:val="24"/>
          <w:szCs w:val="24"/>
        </w:rPr>
      </w:pPr>
      <w:r w:rsidRPr="002819D1">
        <w:rPr>
          <w:rFonts w:ascii="Times New Roman" w:eastAsia="Calibri" w:hAnsi="Times New Roman" w:cs="Times New Roman"/>
          <w:bCs/>
          <w:spacing w:val="1"/>
          <w:sz w:val="24"/>
          <w:szCs w:val="24"/>
        </w:rPr>
        <w:t>Zakon i međunarodni standardi određuju da sustav s</w:t>
      </w:r>
      <w:r w:rsidRPr="002819D1">
        <w:rPr>
          <w:rFonts w:ascii="Times New Roman" w:eastAsia="Calibri" w:hAnsi="Times New Roman" w:cs="Times New Roman"/>
          <w:bCs/>
          <w:sz w:val="24"/>
          <w:szCs w:val="24"/>
        </w:rPr>
        <w:t xml:space="preserve">prječavanja pranja novca i financiranja terorizma nije u nadležnosti samo jedne institucije nego je to sustav u kojem je zakonski definirana uloga Ureda kao financijsko-obavještajne jedinice Republike Hrvatske, odnosno uloga drugih dionika iz sustava sprečavanja pranja novca i financiranja terorizma i njihova međusobna suradnja. </w:t>
      </w:r>
    </w:p>
    <w:p w14:paraId="3755C519" w14:textId="77777777" w:rsidR="004665E0" w:rsidRPr="002819D1" w:rsidRDefault="004665E0" w:rsidP="00982F54">
      <w:pPr>
        <w:spacing w:after="0" w:line="240" w:lineRule="auto"/>
        <w:jc w:val="both"/>
        <w:rPr>
          <w:rFonts w:ascii="Times New Roman" w:eastAsia="Calibri" w:hAnsi="Times New Roman" w:cs="Times New Roman"/>
          <w:bCs/>
          <w:iCs/>
          <w:sz w:val="24"/>
          <w:szCs w:val="24"/>
          <w:lang w:eastAsia="hr-HR"/>
        </w:rPr>
      </w:pPr>
    </w:p>
    <w:p w14:paraId="707718AF" w14:textId="77777777" w:rsidR="004665E0" w:rsidRPr="004665E0" w:rsidRDefault="004665E0" w:rsidP="00982F54">
      <w:pPr>
        <w:spacing w:after="0" w:line="240" w:lineRule="auto"/>
        <w:jc w:val="both"/>
        <w:rPr>
          <w:rFonts w:ascii="Arial" w:eastAsia="Calibri" w:hAnsi="Arial" w:cs="Arial"/>
          <w:bCs/>
          <w:iCs/>
          <w:szCs w:val="20"/>
          <w:lang w:eastAsia="hr-HR"/>
        </w:rPr>
      </w:pPr>
    </w:p>
    <w:p w14:paraId="6D289051" w14:textId="23D49851" w:rsidR="00FD171C" w:rsidRPr="002118EE" w:rsidRDefault="004665E0" w:rsidP="002118EE">
      <w:pPr>
        <w:rPr>
          <w:rFonts w:ascii="Times New Roman" w:eastAsia="Calibri" w:hAnsi="Times New Roman" w:cs="Times New Roman"/>
          <w:b/>
          <w:iCs/>
          <w:sz w:val="24"/>
          <w:szCs w:val="24"/>
          <w:lang w:eastAsia="hr-HR"/>
        </w:rPr>
      </w:pPr>
      <w:r w:rsidRPr="004665E0">
        <w:rPr>
          <w:rFonts w:ascii="Times New Roman" w:eastAsia="Calibri" w:hAnsi="Times New Roman" w:cs="Times New Roman"/>
          <w:b/>
          <w:iCs/>
          <w:sz w:val="24"/>
          <w:szCs w:val="24"/>
          <w:lang w:eastAsia="hr-HR"/>
        </w:rPr>
        <w:br w:type="page"/>
      </w:r>
    </w:p>
    <w:p w14:paraId="48355E93" w14:textId="04FDFEC0" w:rsidR="00FD171C" w:rsidRPr="00FD171C" w:rsidRDefault="008A3947" w:rsidP="008A3947">
      <w:pPr>
        <w:pStyle w:val="Naslov2"/>
      </w:pPr>
      <w:bookmarkStart w:id="3" w:name="_Toc153353416"/>
      <w:r>
        <w:lastRenderedPageBreak/>
        <w:t>SUSTAV</w:t>
      </w:r>
      <w:r w:rsidR="003D798B" w:rsidRPr="00FD171C">
        <w:t xml:space="preserve"> SPRJEČAVANJA PRANJA NOVCA I FINANCIRANJA TERORIZMA U REPUBLICI HRVATSKOJ</w:t>
      </w:r>
      <w:bookmarkEnd w:id="3"/>
    </w:p>
    <w:p w14:paraId="4279FDA7" w14:textId="77777777" w:rsidR="00FD171C" w:rsidRDefault="00FD171C" w:rsidP="004665E0">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p>
    <w:p w14:paraId="5D04B7BF" w14:textId="4F30D8A7" w:rsidR="004665E0" w:rsidRPr="004665E0" w:rsidRDefault="004665E0" w:rsidP="004665E0">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4665E0">
        <w:rPr>
          <w:rFonts w:ascii="Times New Roman" w:eastAsia="Times New Roman" w:hAnsi="Times New Roman" w:cs="Times New Roman"/>
          <w:bCs/>
          <w:sz w:val="24"/>
          <w:szCs w:val="24"/>
          <w:lang w:eastAsia="hr-HR"/>
        </w:rPr>
        <w:t>Sustav sprječavanja pranja novca i financiranja terorizma u Republici Hrvatskoj nije u nadležnosti samo jedne institucije nego je to sustav u kojem su zakonski definirane uloge svakog dionika i njihova m</w:t>
      </w:r>
      <w:r w:rsidR="00982F54">
        <w:rPr>
          <w:rFonts w:ascii="Times New Roman" w:eastAsia="Times New Roman" w:hAnsi="Times New Roman" w:cs="Times New Roman"/>
          <w:bCs/>
          <w:sz w:val="24"/>
          <w:szCs w:val="24"/>
          <w:lang w:eastAsia="hr-HR"/>
        </w:rPr>
        <w:t>eđusobna interakcija i suradnja. Sustav SPNFT čine</w:t>
      </w:r>
      <w:r w:rsidRPr="004665E0">
        <w:rPr>
          <w:rFonts w:ascii="Times New Roman" w:eastAsia="Times New Roman" w:hAnsi="Times New Roman" w:cs="Times New Roman"/>
          <w:bCs/>
          <w:sz w:val="24"/>
          <w:szCs w:val="24"/>
          <w:lang w:eastAsia="hr-HR"/>
        </w:rPr>
        <w:t>:</w:t>
      </w:r>
    </w:p>
    <w:p w14:paraId="190A108D" w14:textId="77777777" w:rsidR="004665E0" w:rsidRPr="004665E0" w:rsidRDefault="004665E0" w:rsidP="004665E0">
      <w:pPr>
        <w:autoSpaceDE w:val="0"/>
        <w:autoSpaceDN w:val="0"/>
        <w:adjustRightInd w:val="0"/>
        <w:spacing w:after="0" w:line="240" w:lineRule="auto"/>
        <w:jc w:val="both"/>
        <w:rPr>
          <w:rFonts w:ascii="Times New Roman" w:eastAsia="Times New Roman" w:hAnsi="Times New Roman" w:cs="Times New Roman"/>
          <w:bCs/>
          <w:sz w:val="16"/>
          <w:szCs w:val="16"/>
          <w:lang w:eastAsia="hr-HR"/>
        </w:rPr>
      </w:pPr>
    </w:p>
    <w:p w14:paraId="3229B5DC" w14:textId="3A8B323C" w:rsidR="004665E0" w:rsidRPr="004665E0" w:rsidRDefault="004665E0" w:rsidP="00BD4933">
      <w:pPr>
        <w:numPr>
          <w:ilvl w:val="0"/>
          <w:numId w:val="1"/>
        </w:numPr>
        <w:tabs>
          <w:tab w:val="left" w:pos="850"/>
          <w:tab w:val="left" w:pos="1191"/>
          <w:tab w:val="left" w:pos="1531"/>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hr-HR"/>
        </w:rPr>
      </w:pPr>
      <w:r w:rsidRPr="004665E0">
        <w:rPr>
          <w:rFonts w:ascii="Times New Roman" w:eastAsia="Times New Roman" w:hAnsi="Times New Roman" w:cs="Times New Roman"/>
          <w:b/>
          <w:bCs/>
          <w:sz w:val="24"/>
          <w:szCs w:val="24"/>
          <w:lang w:eastAsia="hr-HR"/>
        </w:rPr>
        <w:t>tijela prevencije:</w:t>
      </w:r>
      <w:r w:rsidR="009641B8">
        <w:rPr>
          <w:rFonts w:ascii="Times New Roman" w:eastAsia="Times New Roman" w:hAnsi="Times New Roman" w:cs="Times New Roman"/>
          <w:bCs/>
          <w:sz w:val="24"/>
          <w:szCs w:val="24"/>
          <w:lang w:eastAsia="hr-HR"/>
        </w:rPr>
        <w:t xml:space="preserve"> obveznici (banke i drugi)</w:t>
      </w:r>
    </w:p>
    <w:p w14:paraId="05327B16" w14:textId="77777777" w:rsidR="004665E0" w:rsidRPr="004665E0" w:rsidRDefault="004665E0" w:rsidP="004665E0">
      <w:pPr>
        <w:tabs>
          <w:tab w:val="left" w:pos="850"/>
          <w:tab w:val="left" w:pos="1191"/>
          <w:tab w:val="left" w:pos="1531"/>
        </w:tabs>
        <w:autoSpaceDE w:val="0"/>
        <w:autoSpaceDN w:val="0"/>
        <w:adjustRightInd w:val="0"/>
        <w:spacing w:after="0" w:line="240" w:lineRule="auto"/>
        <w:ind w:left="720"/>
        <w:contextualSpacing/>
        <w:jc w:val="both"/>
        <w:rPr>
          <w:rFonts w:ascii="Times New Roman" w:eastAsia="Times New Roman" w:hAnsi="Times New Roman" w:cs="Times New Roman"/>
          <w:bCs/>
          <w:sz w:val="16"/>
          <w:szCs w:val="16"/>
          <w:lang w:eastAsia="hr-HR"/>
        </w:rPr>
      </w:pPr>
    </w:p>
    <w:p w14:paraId="7CA8BD60" w14:textId="77777777" w:rsidR="004665E0" w:rsidRPr="004665E0" w:rsidRDefault="004665E0" w:rsidP="00BD4933">
      <w:pPr>
        <w:numPr>
          <w:ilvl w:val="0"/>
          <w:numId w:val="1"/>
        </w:numPr>
        <w:tabs>
          <w:tab w:val="left" w:pos="850"/>
          <w:tab w:val="left" w:pos="1191"/>
          <w:tab w:val="left" w:pos="1531"/>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hr-HR"/>
        </w:rPr>
      </w:pPr>
      <w:r w:rsidRPr="004665E0">
        <w:rPr>
          <w:rFonts w:ascii="Times New Roman" w:eastAsia="Times New Roman" w:hAnsi="Times New Roman" w:cs="Times New Roman"/>
          <w:b/>
          <w:bCs/>
          <w:sz w:val="24"/>
          <w:szCs w:val="24"/>
          <w:lang w:eastAsia="hr-HR"/>
        </w:rPr>
        <w:t>Ured za sprječavanje pranja novca</w:t>
      </w:r>
      <w:r w:rsidRPr="004665E0">
        <w:rPr>
          <w:rFonts w:ascii="Times New Roman" w:eastAsia="Times New Roman" w:hAnsi="Times New Roman" w:cs="Times New Roman"/>
          <w:bCs/>
          <w:sz w:val="24"/>
          <w:szCs w:val="24"/>
          <w:lang w:eastAsia="hr-HR"/>
        </w:rPr>
        <w:t>, kao FOJ RH</w:t>
      </w:r>
    </w:p>
    <w:p w14:paraId="70760987" w14:textId="77777777" w:rsidR="004665E0" w:rsidRPr="004665E0" w:rsidRDefault="004665E0" w:rsidP="004665E0">
      <w:pPr>
        <w:tabs>
          <w:tab w:val="left" w:pos="850"/>
          <w:tab w:val="left" w:pos="1191"/>
          <w:tab w:val="left" w:pos="1531"/>
        </w:tabs>
        <w:autoSpaceDE w:val="0"/>
        <w:autoSpaceDN w:val="0"/>
        <w:adjustRightInd w:val="0"/>
        <w:spacing w:after="0" w:line="240" w:lineRule="auto"/>
        <w:contextualSpacing/>
        <w:jc w:val="both"/>
        <w:rPr>
          <w:rFonts w:ascii="Times New Roman" w:eastAsia="Times New Roman" w:hAnsi="Times New Roman" w:cs="Times New Roman"/>
          <w:bCs/>
          <w:sz w:val="16"/>
          <w:szCs w:val="16"/>
          <w:lang w:eastAsia="hr-HR"/>
        </w:rPr>
      </w:pPr>
    </w:p>
    <w:p w14:paraId="7B587168" w14:textId="54AFCBB8" w:rsidR="004665E0" w:rsidRPr="004665E0" w:rsidRDefault="004665E0" w:rsidP="00BD4933">
      <w:pPr>
        <w:numPr>
          <w:ilvl w:val="0"/>
          <w:numId w:val="1"/>
        </w:numPr>
        <w:tabs>
          <w:tab w:val="left" w:pos="850"/>
          <w:tab w:val="left" w:pos="1191"/>
          <w:tab w:val="left" w:pos="1531"/>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hr-HR"/>
        </w:rPr>
      </w:pPr>
      <w:r w:rsidRPr="004665E0">
        <w:rPr>
          <w:rFonts w:ascii="Times New Roman" w:eastAsia="Times New Roman" w:hAnsi="Times New Roman" w:cs="Times New Roman"/>
          <w:b/>
          <w:bCs/>
          <w:sz w:val="24"/>
          <w:szCs w:val="24"/>
          <w:lang w:eastAsia="hr-HR"/>
        </w:rPr>
        <w:t>nadzorna tijela</w:t>
      </w:r>
      <w:r w:rsidRPr="004665E0">
        <w:rPr>
          <w:rFonts w:ascii="Times New Roman" w:eastAsia="Times New Roman" w:hAnsi="Times New Roman" w:cs="Times New Roman"/>
          <w:bCs/>
          <w:sz w:val="24"/>
          <w:szCs w:val="24"/>
          <w:lang w:eastAsia="hr-HR"/>
        </w:rPr>
        <w:t xml:space="preserve">: nadzorne službe ministarstva nadležnoga za financije (Porezna uprava, Carinska uprava i Financijski inspektorat), Hrvatska narodna banka, Hrvatska agencija za nadzor financijskih usluga </w:t>
      </w:r>
    </w:p>
    <w:p w14:paraId="0B039C3E" w14:textId="77777777" w:rsidR="004665E0" w:rsidRPr="004665E0" w:rsidRDefault="004665E0" w:rsidP="004665E0">
      <w:pPr>
        <w:tabs>
          <w:tab w:val="left" w:pos="850"/>
          <w:tab w:val="left" w:pos="1191"/>
          <w:tab w:val="left" w:pos="1531"/>
        </w:tabs>
        <w:autoSpaceDE w:val="0"/>
        <w:autoSpaceDN w:val="0"/>
        <w:adjustRightInd w:val="0"/>
        <w:spacing w:after="0" w:line="240" w:lineRule="auto"/>
        <w:contextualSpacing/>
        <w:jc w:val="both"/>
        <w:rPr>
          <w:rFonts w:ascii="Times New Roman" w:eastAsia="Times New Roman" w:hAnsi="Times New Roman" w:cs="Times New Roman"/>
          <w:bCs/>
          <w:sz w:val="16"/>
          <w:szCs w:val="16"/>
          <w:lang w:eastAsia="hr-HR"/>
        </w:rPr>
      </w:pPr>
    </w:p>
    <w:p w14:paraId="248DBAEF" w14:textId="77777777" w:rsidR="004665E0" w:rsidRPr="004665E0" w:rsidRDefault="004665E0" w:rsidP="00BD4933">
      <w:pPr>
        <w:numPr>
          <w:ilvl w:val="0"/>
          <w:numId w:val="1"/>
        </w:numPr>
        <w:tabs>
          <w:tab w:val="left" w:pos="850"/>
          <w:tab w:val="left" w:pos="1191"/>
          <w:tab w:val="left" w:pos="1531"/>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hr-HR"/>
        </w:rPr>
      </w:pPr>
      <w:r w:rsidRPr="004665E0">
        <w:rPr>
          <w:rFonts w:ascii="Times New Roman" w:eastAsia="Times New Roman" w:hAnsi="Times New Roman" w:cs="Times New Roman"/>
          <w:b/>
          <w:bCs/>
          <w:sz w:val="24"/>
          <w:szCs w:val="24"/>
          <w:lang w:eastAsia="hr-HR"/>
        </w:rPr>
        <w:t>tijela kaznenog progona</w:t>
      </w:r>
      <w:r w:rsidRPr="004665E0">
        <w:rPr>
          <w:rFonts w:ascii="Times New Roman" w:eastAsia="Times New Roman" w:hAnsi="Times New Roman" w:cs="Times New Roman"/>
          <w:bCs/>
          <w:sz w:val="24"/>
          <w:szCs w:val="24"/>
          <w:lang w:eastAsia="hr-HR"/>
        </w:rPr>
        <w:t xml:space="preserve"> (Policija i Državno odvjetništvo)</w:t>
      </w:r>
    </w:p>
    <w:p w14:paraId="6C493671" w14:textId="77777777" w:rsidR="004665E0" w:rsidRPr="004665E0" w:rsidRDefault="004665E0" w:rsidP="004665E0">
      <w:pPr>
        <w:tabs>
          <w:tab w:val="left" w:pos="850"/>
          <w:tab w:val="left" w:pos="1191"/>
          <w:tab w:val="left" w:pos="1531"/>
        </w:tabs>
        <w:autoSpaceDE w:val="0"/>
        <w:autoSpaceDN w:val="0"/>
        <w:adjustRightInd w:val="0"/>
        <w:spacing w:after="0" w:line="240" w:lineRule="auto"/>
        <w:contextualSpacing/>
        <w:jc w:val="both"/>
        <w:rPr>
          <w:rFonts w:ascii="Times New Roman" w:eastAsia="Times New Roman" w:hAnsi="Times New Roman" w:cs="Times New Roman"/>
          <w:bCs/>
          <w:sz w:val="16"/>
          <w:szCs w:val="16"/>
          <w:lang w:eastAsia="hr-HR"/>
        </w:rPr>
      </w:pPr>
    </w:p>
    <w:p w14:paraId="4FBA822A" w14:textId="77777777" w:rsidR="004665E0" w:rsidRDefault="004665E0" w:rsidP="00BD4933">
      <w:pPr>
        <w:numPr>
          <w:ilvl w:val="0"/>
          <w:numId w:val="1"/>
        </w:numPr>
        <w:tabs>
          <w:tab w:val="left" w:pos="850"/>
          <w:tab w:val="left" w:pos="1191"/>
          <w:tab w:val="left" w:pos="1531"/>
        </w:tabs>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hr-HR"/>
        </w:rPr>
      </w:pPr>
      <w:r w:rsidRPr="004665E0">
        <w:rPr>
          <w:rFonts w:ascii="Times New Roman" w:eastAsia="Times New Roman" w:hAnsi="Times New Roman" w:cs="Times New Roman"/>
          <w:b/>
          <w:bCs/>
          <w:sz w:val="24"/>
          <w:szCs w:val="24"/>
          <w:lang w:eastAsia="hr-HR"/>
        </w:rPr>
        <w:t xml:space="preserve">pravosuđe </w:t>
      </w:r>
    </w:p>
    <w:p w14:paraId="41205B80" w14:textId="77777777" w:rsidR="004D4421" w:rsidRDefault="004D4421" w:rsidP="004D4421">
      <w:pPr>
        <w:tabs>
          <w:tab w:val="left" w:pos="850"/>
          <w:tab w:val="left" w:pos="1191"/>
          <w:tab w:val="left" w:pos="1531"/>
        </w:tabs>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hr-HR"/>
        </w:rPr>
      </w:pPr>
    </w:p>
    <w:p w14:paraId="5566955B" w14:textId="77777777" w:rsidR="004D4421" w:rsidRPr="004D4421" w:rsidRDefault="004D4421" w:rsidP="004D4421">
      <w:pPr>
        <w:tabs>
          <w:tab w:val="left" w:pos="850"/>
          <w:tab w:val="left" w:pos="1191"/>
          <w:tab w:val="left" w:pos="1531"/>
        </w:tab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Shema 1</w:t>
      </w:r>
      <w:r w:rsidRPr="004665E0">
        <w:rPr>
          <w:rFonts w:ascii="Times New Roman" w:eastAsia="Times New Roman" w:hAnsi="Times New Roman" w:cs="Times New Roman"/>
          <w:b/>
          <w:sz w:val="24"/>
          <w:szCs w:val="24"/>
          <w:lang w:eastAsia="zh-CN"/>
        </w:rPr>
        <w:t>.: Sustav sprječavanja PN/FT u RH</w:t>
      </w:r>
    </w:p>
    <w:p w14:paraId="15599A47" w14:textId="77777777" w:rsidR="004D4421" w:rsidRDefault="004D4421" w:rsidP="004D4421">
      <w:pPr>
        <w:tabs>
          <w:tab w:val="left" w:pos="850"/>
          <w:tab w:val="left" w:pos="1191"/>
          <w:tab w:val="left" w:pos="1531"/>
        </w:tabs>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hr-HR"/>
        </w:rPr>
      </w:pPr>
      <w:r w:rsidRPr="004665E0">
        <w:rPr>
          <w:rFonts w:ascii="Times New Roman" w:eastAsia="SimSun" w:hAnsi="Times New Roman" w:cs="Times New Roman"/>
          <w:noProof/>
          <w:sz w:val="24"/>
          <w:szCs w:val="24"/>
          <w:lang w:eastAsia="hr-HR"/>
        </w:rPr>
        <w:drawing>
          <wp:inline distT="0" distB="0" distL="0" distR="0" wp14:anchorId="64973EFD" wp14:editId="1958689F">
            <wp:extent cx="5731510" cy="3179469"/>
            <wp:effectExtent l="0" t="0" r="2540" b="1905"/>
            <wp:docPr id="12" name="Slika 1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
                    <pic:cNvPicPr>
                      <a:picLocks noChangeAspect="1" noChangeArrowheads="1"/>
                    </pic:cNvPicPr>
                  </pic:nvPicPr>
                  <pic:blipFill>
                    <a:blip r:embed="rId11">
                      <a:extLst>
                        <a:ext uri="{28A0092B-C50C-407E-A947-70E740481C1C}">
                          <a14:useLocalDpi xmlns:a14="http://schemas.microsoft.com/office/drawing/2010/main" val="0"/>
                        </a:ext>
                      </a:extLst>
                    </a:blip>
                    <a:srcRect t="8620" b="18201"/>
                    <a:stretch>
                      <a:fillRect/>
                    </a:stretch>
                  </pic:blipFill>
                  <pic:spPr bwMode="auto">
                    <a:xfrm>
                      <a:off x="0" y="0"/>
                      <a:ext cx="5731510" cy="3179469"/>
                    </a:xfrm>
                    <a:prstGeom prst="rect">
                      <a:avLst/>
                    </a:prstGeom>
                    <a:noFill/>
                    <a:ln>
                      <a:noFill/>
                    </a:ln>
                  </pic:spPr>
                </pic:pic>
              </a:graphicData>
            </a:graphic>
          </wp:inline>
        </w:drawing>
      </w:r>
    </w:p>
    <w:p w14:paraId="46DAF3EC" w14:textId="77777777" w:rsidR="00982F54" w:rsidRDefault="00982F54">
      <w:pPr>
        <w:rPr>
          <w:rFonts w:ascii="Times New Roman" w:eastAsia="Times New Roman" w:hAnsi="Times New Roman" w:cs="Times New Roman"/>
          <w:bCs/>
          <w:sz w:val="24"/>
          <w:szCs w:val="24"/>
          <w:lang w:eastAsia="hr-HR"/>
        </w:rPr>
      </w:pPr>
      <w:bookmarkStart w:id="4" w:name="_Toc74662592"/>
      <w:bookmarkStart w:id="5" w:name="_Toc71371409"/>
      <w:bookmarkStart w:id="6" w:name="_Toc71371401"/>
      <w:bookmarkStart w:id="7" w:name="_Toc74662587"/>
      <w:r>
        <w:rPr>
          <w:rFonts w:ascii="Times New Roman" w:eastAsia="Times New Roman" w:hAnsi="Times New Roman" w:cs="Times New Roman"/>
          <w:bCs/>
          <w:sz w:val="24"/>
          <w:szCs w:val="24"/>
          <w:lang w:eastAsia="hr-HR"/>
        </w:rPr>
        <w:br w:type="page"/>
      </w:r>
    </w:p>
    <w:p w14:paraId="6A241D4F" w14:textId="68776141" w:rsidR="00F30F6B" w:rsidRDefault="00F30F6B" w:rsidP="00F30F6B">
      <w:pPr>
        <w:tabs>
          <w:tab w:val="left" w:pos="850"/>
          <w:tab w:val="left" w:pos="1191"/>
          <w:tab w:val="left" w:pos="1531"/>
        </w:tab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Tijela prevencije:</w:t>
      </w:r>
    </w:p>
    <w:p w14:paraId="06856154" w14:textId="77777777" w:rsidR="00F30F6B" w:rsidRDefault="00F30F6B" w:rsidP="00F30F6B">
      <w:pPr>
        <w:tabs>
          <w:tab w:val="left" w:pos="850"/>
          <w:tab w:val="left" w:pos="1191"/>
          <w:tab w:val="left" w:pos="1531"/>
        </w:tabs>
        <w:spacing w:after="0" w:line="240" w:lineRule="auto"/>
        <w:jc w:val="both"/>
        <w:rPr>
          <w:rFonts w:ascii="Times New Roman" w:eastAsia="Times New Roman" w:hAnsi="Times New Roman" w:cs="Times New Roman"/>
          <w:b/>
          <w:sz w:val="24"/>
          <w:szCs w:val="24"/>
          <w:lang w:eastAsia="zh-CN"/>
        </w:rPr>
      </w:pPr>
    </w:p>
    <w:p w14:paraId="45F39022" w14:textId="5AA61C8B" w:rsidR="00F30F6B" w:rsidRPr="004665E0" w:rsidRDefault="00982F54" w:rsidP="00F30F6B">
      <w:pPr>
        <w:tabs>
          <w:tab w:val="left" w:pos="850"/>
          <w:tab w:val="left" w:pos="1191"/>
          <w:tab w:val="left" w:pos="1531"/>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Obveznici iz članka 9. Zakona jesu </w:t>
      </w:r>
      <w:r w:rsidR="00F30F6B" w:rsidRPr="004665E0">
        <w:rPr>
          <w:rFonts w:ascii="Times New Roman" w:eastAsia="Times New Roman" w:hAnsi="Times New Roman" w:cs="Times New Roman"/>
          <w:sz w:val="24"/>
          <w:szCs w:val="24"/>
          <w:lang w:eastAsia="zh-CN"/>
        </w:rPr>
        <w:t xml:space="preserve">banke, štedne banke, kreditne unije, ovlašteni mjenjači, osiguravajuća društva, priređivači igara na sreću, brokeri, odvjetnici, javni bilježnici, vanjski računovođe, porezni savjetnici, te obveznici pružanja usluga razmjene virtualnih i fiducijarnih valuta, pružanja skrbničke usluge novčanika i drugi obveznici. </w:t>
      </w:r>
    </w:p>
    <w:p w14:paraId="2BED402B" w14:textId="77777777" w:rsidR="00F30F6B" w:rsidRPr="004665E0" w:rsidRDefault="00F30F6B" w:rsidP="00F30F6B">
      <w:pPr>
        <w:tabs>
          <w:tab w:val="left" w:pos="850"/>
          <w:tab w:val="left" w:pos="1191"/>
          <w:tab w:val="left" w:pos="1531"/>
        </w:tabs>
        <w:spacing w:after="0" w:line="240" w:lineRule="auto"/>
        <w:jc w:val="both"/>
        <w:rPr>
          <w:rFonts w:ascii="Times New Roman" w:eastAsia="Times New Roman" w:hAnsi="Times New Roman" w:cs="Times New Roman"/>
          <w:b/>
          <w:sz w:val="24"/>
          <w:szCs w:val="24"/>
          <w:lang w:eastAsia="zh-CN"/>
        </w:rPr>
      </w:pPr>
      <w:r w:rsidRPr="004665E0">
        <w:rPr>
          <w:rFonts w:ascii="Times New Roman" w:eastAsia="Times New Roman" w:hAnsi="Times New Roman" w:cs="Times New Roman"/>
          <w:b/>
          <w:sz w:val="24"/>
          <w:szCs w:val="24"/>
          <w:lang w:eastAsia="zh-CN"/>
        </w:rPr>
        <w:t>Ključni elementi preventivnog sustava za sprječavanje pranja novca i financiranja terorizma su sljedeće mjere koje provode banke i drugi obveznici:</w:t>
      </w:r>
    </w:p>
    <w:p w14:paraId="47C386F7" w14:textId="77777777" w:rsidR="00F30F6B" w:rsidRPr="004665E0" w:rsidRDefault="00F30F6B" w:rsidP="00F30F6B">
      <w:pPr>
        <w:numPr>
          <w:ilvl w:val="0"/>
          <w:numId w:val="1"/>
        </w:numPr>
        <w:tabs>
          <w:tab w:val="left" w:pos="850"/>
          <w:tab w:val="left" w:pos="1191"/>
          <w:tab w:val="left" w:pos="1531"/>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hr-HR"/>
        </w:rPr>
      </w:pPr>
      <w:r w:rsidRPr="004665E0">
        <w:rPr>
          <w:rFonts w:ascii="Times New Roman" w:eastAsia="Times New Roman" w:hAnsi="Times New Roman" w:cs="Times New Roman"/>
          <w:bCs/>
          <w:sz w:val="24"/>
          <w:szCs w:val="24"/>
          <w:lang w:eastAsia="hr-HR"/>
        </w:rPr>
        <w:t>dubinska analiza klijenta primjenom standarda „upoznaj svoga klijenta" (utvrđivanje i provjeravanje identiteta stranke te utvrđivanje i provjeravanje identiteta stvarnog vlasnika stranke i dr.)</w:t>
      </w:r>
    </w:p>
    <w:p w14:paraId="331D874D" w14:textId="77777777" w:rsidR="00F30F6B" w:rsidRPr="004665E0" w:rsidRDefault="00F30F6B" w:rsidP="00F30F6B">
      <w:pPr>
        <w:numPr>
          <w:ilvl w:val="0"/>
          <w:numId w:val="1"/>
        </w:numPr>
        <w:tabs>
          <w:tab w:val="left" w:pos="850"/>
          <w:tab w:val="left" w:pos="1191"/>
          <w:tab w:val="left" w:pos="1531"/>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hr-HR"/>
        </w:rPr>
      </w:pPr>
      <w:r w:rsidRPr="004665E0">
        <w:rPr>
          <w:rFonts w:ascii="Times New Roman" w:eastAsia="Times New Roman" w:hAnsi="Times New Roman" w:cs="Times New Roman"/>
          <w:bCs/>
          <w:sz w:val="24"/>
          <w:szCs w:val="24"/>
          <w:lang w:eastAsia="hr-HR"/>
        </w:rPr>
        <w:t>prijava sumnjivih (gotovinskih i bezgotovinskih) transakcija, sumnjivih sredstava i osoba Uredu od strane obveznika prije obavljanja sumnjive transakcije kada banke i drugi obveznici utvrde sumnju na pranje novca i financiranje terorizma, bez obzira na visinu transakcije (članak 56. i 57. Zakona)</w:t>
      </w:r>
    </w:p>
    <w:p w14:paraId="0EDC5916" w14:textId="77777777" w:rsidR="00F30F6B" w:rsidRPr="004665E0" w:rsidRDefault="00F30F6B" w:rsidP="00F30F6B">
      <w:pPr>
        <w:tabs>
          <w:tab w:val="left" w:pos="850"/>
          <w:tab w:val="left" w:pos="1191"/>
          <w:tab w:val="left" w:pos="1531"/>
        </w:tabs>
        <w:spacing w:after="0" w:line="240" w:lineRule="auto"/>
        <w:jc w:val="both"/>
        <w:rPr>
          <w:rFonts w:ascii="Times New Roman" w:eastAsia="Times New Roman" w:hAnsi="Times New Roman" w:cs="Times New Roman"/>
          <w:sz w:val="24"/>
          <w:szCs w:val="24"/>
          <w:lang w:eastAsia="zh-CN"/>
        </w:rPr>
      </w:pPr>
    </w:p>
    <w:p w14:paraId="365258BD" w14:textId="2F80DBC1" w:rsidR="00F30F6B" w:rsidRDefault="00F30F6B" w:rsidP="00F30F6B">
      <w:pPr>
        <w:autoSpaceDE w:val="0"/>
        <w:autoSpaceDN w:val="0"/>
        <w:adjustRightInd w:val="0"/>
        <w:spacing w:after="120" w:line="240" w:lineRule="auto"/>
        <w:jc w:val="both"/>
        <w:rPr>
          <w:rFonts w:ascii="Times New Roman" w:eastAsia="Times New Roman" w:hAnsi="Times New Roman" w:cs="Times New Roman"/>
          <w:b/>
          <w:bCs/>
          <w:sz w:val="24"/>
          <w:szCs w:val="24"/>
          <w:lang w:eastAsia="hr-HR"/>
        </w:rPr>
      </w:pPr>
      <w:r w:rsidRPr="004665E0">
        <w:rPr>
          <w:rFonts w:ascii="Times New Roman" w:eastAsia="Times New Roman" w:hAnsi="Times New Roman" w:cs="Times New Roman"/>
          <w:b/>
          <w:bCs/>
          <w:sz w:val="24"/>
          <w:szCs w:val="24"/>
          <w:lang w:eastAsia="hr-HR"/>
        </w:rPr>
        <w:t>Nadzorna tijela</w:t>
      </w:r>
      <w:r w:rsidR="00982F54">
        <w:rPr>
          <w:rFonts w:ascii="Times New Roman" w:eastAsia="Times New Roman" w:hAnsi="Times New Roman" w:cs="Times New Roman"/>
          <w:b/>
          <w:bCs/>
          <w:sz w:val="24"/>
          <w:szCs w:val="24"/>
          <w:lang w:eastAsia="hr-HR"/>
        </w:rPr>
        <w:t xml:space="preserve"> jesu</w:t>
      </w:r>
      <w:r>
        <w:rPr>
          <w:rFonts w:ascii="Times New Roman" w:eastAsia="Times New Roman" w:hAnsi="Times New Roman" w:cs="Times New Roman"/>
          <w:b/>
          <w:bCs/>
          <w:sz w:val="24"/>
          <w:szCs w:val="24"/>
          <w:lang w:eastAsia="hr-HR"/>
        </w:rPr>
        <w:t>:</w:t>
      </w:r>
    </w:p>
    <w:p w14:paraId="102329E6" w14:textId="4A26B9BB" w:rsidR="00F30F6B" w:rsidRDefault="00F30F6B" w:rsidP="00F30F6B">
      <w:pPr>
        <w:autoSpaceDE w:val="0"/>
        <w:autoSpaceDN w:val="0"/>
        <w:adjustRightInd w:val="0"/>
        <w:spacing w:after="120" w:line="240" w:lineRule="auto"/>
        <w:jc w:val="both"/>
        <w:rPr>
          <w:rFonts w:ascii="Times New Roman" w:eastAsia="Calibri" w:hAnsi="Times New Roman" w:cs="Times New Roman"/>
          <w:sz w:val="24"/>
          <w:szCs w:val="24"/>
          <w:lang w:eastAsia="zh-CN"/>
        </w:rPr>
      </w:pPr>
      <w:r w:rsidRPr="004665E0">
        <w:rPr>
          <w:rFonts w:ascii="Times New Roman" w:eastAsia="Calibri" w:hAnsi="Times New Roman" w:cs="Times New Roman"/>
          <w:b/>
          <w:sz w:val="24"/>
          <w:szCs w:val="24"/>
          <w:lang w:eastAsia="zh-CN"/>
        </w:rPr>
        <w:t>Hrvatska narodna banka</w:t>
      </w:r>
      <w:r w:rsidR="00982F54">
        <w:rPr>
          <w:rFonts w:ascii="Times New Roman" w:eastAsia="Calibri" w:hAnsi="Times New Roman" w:cs="Times New Roman"/>
          <w:b/>
          <w:sz w:val="24"/>
          <w:szCs w:val="24"/>
          <w:lang w:eastAsia="zh-CN"/>
        </w:rPr>
        <w:t xml:space="preserve"> </w:t>
      </w:r>
      <w:r w:rsidRPr="004665E0">
        <w:rPr>
          <w:rFonts w:ascii="Times New Roman" w:eastAsia="Calibri" w:hAnsi="Times New Roman" w:cs="Times New Roman"/>
          <w:sz w:val="24"/>
          <w:szCs w:val="24"/>
          <w:lang w:eastAsia="zh-CN"/>
        </w:rPr>
        <w:t>nadzire provedbu Zakona i provedbu Uredbe (EU) 2015/847 i Delegirane uredbe Komisije (EU) 2018/1108 kod kreditnih institucija, kreditnih unija, institucija za platni promet i za elektronički novac, podružnica istovrsnih obveznika iz drugih država te kod zastupnika institucija za platni promet i distributera institucija za elektronički novac iz drugih država članica ako su oni kreditne institucije, kreditne unije, institucije za platni promet i institucije za elektronički novac osnovane u Republici Hrvatskoj u skladu s odgovarajućim zakonom.</w:t>
      </w:r>
    </w:p>
    <w:p w14:paraId="300B0ADD" w14:textId="4BB77178" w:rsidR="00F30F6B" w:rsidRDefault="00F30F6B" w:rsidP="00F30F6B">
      <w:pPr>
        <w:autoSpaceDE w:val="0"/>
        <w:autoSpaceDN w:val="0"/>
        <w:adjustRightInd w:val="0"/>
        <w:spacing w:after="120" w:line="240" w:lineRule="auto"/>
        <w:jc w:val="both"/>
        <w:rPr>
          <w:rFonts w:ascii="Times New Roman" w:eastAsia="Calibri" w:hAnsi="Times New Roman" w:cs="Times New Roman"/>
          <w:sz w:val="24"/>
          <w:szCs w:val="24"/>
          <w:lang w:eastAsia="zh-CN"/>
        </w:rPr>
      </w:pPr>
      <w:r w:rsidRPr="004665E0">
        <w:rPr>
          <w:rFonts w:ascii="Times New Roman" w:eastAsia="Calibri" w:hAnsi="Times New Roman" w:cs="Times New Roman"/>
          <w:b/>
          <w:sz w:val="24"/>
          <w:szCs w:val="24"/>
          <w:lang w:eastAsia="zh-CN"/>
        </w:rPr>
        <w:t>Hrvatska agencija za nadzor financijskih usluga</w:t>
      </w:r>
      <w:r w:rsidR="00982F54">
        <w:rPr>
          <w:rFonts w:ascii="Times New Roman" w:eastAsia="Calibri" w:hAnsi="Times New Roman" w:cs="Times New Roman"/>
          <w:b/>
          <w:sz w:val="24"/>
          <w:szCs w:val="24"/>
          <w:lang w:eastAsia="zh-CN"/>
        </w:rPr>
        <w:t xml:space="preserve"> </w:t>
      </w:r>
      <w:r w:rsidRPr="004665E0">
        <w:rPr>
          <w:rFonts w:ascii="Times New Roman" w:eastAsia="Calibri" w:hAnsi="Times New Roman" w:cs="Times New Roman"/>
          <w:sz w:val="24"/>
          <w:szCs w:val="24"/>
          <w:lang w:eastAsia="zh-CN"/>
        </w:rPr>
        <w:t>nadzire provedbu Zakona u sektoru financijskih usluga (društva za upravljanje investicijskim fondovima i investicijski fondovi s pravnom osobnošću upravljanjem, mirovinska društva, društva, društva za osiguranje za obavljanje poslova životnih osiguranja, zastupnici i posrednici u životnom osiguranju, faktoring društva, leasing društva te pravne i fizičke osobe koje se bave razmjenom virtualnih i fiducijarnih valuta te skrbničkim uslugama novčanika.</w:t>
      </w:r>
    </w:p>
    <w:p w14:paraId="32AC7D81" w14:textId="6A4A1E62" w:rsidR="00F30F6B" w:rsidRDefault="00F30F6B" w:rsidP="00F30F6B">
      <w:pPr>
        <w:tabs>
          <w:tab w:val="left" w:pos="850"/>
          <w:tab w:val="left" w:pos="1191"/>
          <w:tab w:val="left" w:pos="1531"/>
        </w:tabs>
        <w:spacing w:after="0" w:line="240" w:lineRule="auto"/>
        <w:jc w:val="both"/>
        <w:rPr>
          <w:rFonts w:ascii="Times New Roman" w:eastAsia="Calibri" w:hAnsi="Times New Roman" w:cs="Times New Roman"/>
          <w:sz w:val="24"/>
          <w:szCs w:val="24"/>
          <w:lang w:eastAsia="zh-CN"/>
        </w:rPr>
      </w:pPr>
      <w:r w:rsidRPr="004665E0">
        <w:rPr>
          <w:rFonts w:ascii="Times New Roman" w:eastAsia="Calibri" w:hAnsi="Times New Roman" w:cs="Times New Roman"/>
          <w:b/>
          <w:sz w:val="24"/>
          <w:szCs w:val="24"/>
          <w:lang w:eastAsia="zh-CN"/>
        </w:rPr>
        <w:t>Financijski inspektorat</w:t>
      </w:r>
      <w:r w:rsidRPr="00554CC2">
        <w:rPr>
          <w:rFonts w:ascii="Times New Roman" w:eastAsia="Calibri" w:hAnsi="Times New Roman" w:cs="Times New Roman"/>
          <w:sz w:val="24"/>
          <w:szCs w:val="24"/>
          <w:lang w:eastAsia="zh-CN"/>
        </w:rPr>
        <w:t xml:space="preserve"> </w:t>
      </w:r>
      <w:r w:rsidRPr="004665E0">
        <w:rPr>
          <w:rFonts w:ascii="Times New Roman" w:eastAsia="Calibri" w:hAnsi="Times New Roman" w:cs="Times New Roman"/>
          <w:sz w:val="24"/>
          <w:szCs w:val="24"/>
          <w:lang w:eastAsia="zh-CN"/>
        </w:rPr>
        <w:t>nadzire prove</w:t>
      </w:r>
      <w:r w:rsidR="00982F54">
        <w:rPr>
          <w:rFonts w:ascii="Times New Roman" w:eastAsia="Calibri" w:hAnsi="Times New Roman" w:cs="Times New Roman"/>
          <w:sz w:val="24"/>
          <w:szCs w:val="24"/>
          <w:lang w:eastAsia="zh-CN"/>
        </w:rPr>
        <w:t>dbu Zakona</w:t>
      </w:r>
      <w:r w:rsidRPr="004665E0">
        <w:rPr>
          <w:rFonts w:ascii="Times New Roman" w:eastAsia="Calibri" w:hAnsi="Times New Roman" w:cs="Times New Roman"/>
          <w:sz w:val="24"/>
          <w:szCs w:val="24"/>
          <w:lang w:eastAsia="zh-CN"/>
        </w:rPr>
        <w:t xml:space="preserve"> u sektoru profesionalnih djelatnosti (odvjetnici, javni bilježnici, vanjski računovođe, revizori i porezni savjetnici), kod ovlaštenih mjenjača, Hrvatske banke za obnovu i razvitak, HP –Hrvatska pošta d.d., zastupnika institucija za platni promet, distributera institucija za elektronički novac iz drugih država članica, pravnim i fizičkim osobama koje se bave drugim financijskim uslugama a koje nisu kreditna ni financijska institucija (usluge vezane uz poslove kreditiranja, potrošačko kreditiranje, forfeiting, izdava</w:t>
      </w:r>
      <w:r w:rsidR="00982F54">
        <w:rPr>
          <w:rFonts w:ascii="Times New Roman" w:eastAsia="Calibri" w:hAnsi="Times New Roman" w:cs="Times New Roman"/>
          <w:sz w:val="24"/>
          <w:szCs w:val="24"/>
          <w:lang w:eastAsia="zh-CN"/>
        </w:rPr>
        <w:t>nje garancija i jamstava i dr.) i</w:t>
      </w:r>
      <w:r w:rsidRPr="004665E0">
        <w:rPr>
          <w:rFonts w:ascii="Times New Roman" w:eastAsia="Calibri" w:hAnsi="Times New Roman" w:cs="Times New Roman"/>
          <w:sz w:val="24"/>
          <w:szCs w:val="24"/>
          <w:lang w:eastAsia="zh-CN"/>
        </w:rPr>
        <w:t xml:space="preserve"> posredni</w:t>
      </w:r>
      <w:r w:rsidR="00982F54">
        <w:rPr>
          <w:rFonts w:ascii="Times New Roman" w:eastAsia="Calibri" w:hAnsi="Times New Roman" w:cs="Times New Roman"/>
          <w:sz w:val="24"/>
          <w:szCs w:val="24"/>
          <w:lang w:eastAsia="zh-CN"/>
        </w:rPr>
        <w:t>ka</w:t>
      </w:r>
      <w:r w:rsidRPr="004665E0">
        <w:rPr>
          <w:rFonts w:ascii="Times New Roman" w:eastAsia="Calibri" w:hAnsi="Times New Roman" w:cs="Times New Roman"/>
          <w:sz w:val="24"/>
          <w:szCs w:val="24"/>
          <w:lang w:eastAsia="zh-CN"/>
        </w:rPr>
        <w:t xml:space="preserve"> u prometu nekretninama. </w:t>
      </w:r>
    </w:p>
    <w:p w14:paraId="1E5780B4" w14:textId="77777777" w:rsidR="00F30F6B" w:rsidRDefault="00F30F6B" w:rsidP="00F30F6B">
      <w:pPr>
        <w:tabs>
          <w:tab w:val="left" w:pos="850"/>
          <w:tab w:val="left" w:pos="1191"/>
          <w:tab w:val="left" w:pos="1531"/>
        </w:tabs>
        <w:spacing w:after="0" w:line="240" w:lineRule="auto"/>
        <w:jc w:val="both"/>
        <w:rPr>
          <w:rFonts w:ascii="Times New Roman" w:eastAsia="Calibri" w:hAnsi="Times New Roman" w:cs="Times New Roman"/>
          <w:b/>
          <w:sz w:val="24"/>
          <w:szCs w:val="24"/>
          <w:lang w:eastAsia="zh-CN"/>
        </w:rPr>
      </w:pPr>
    </w:p>
    <w:p w14:paraId="1DF12DC5" w14:textId="4D1D66A9" w:rsidR="00F30F6B" w:rsidRDefault="00F30F6B" w:rsidP="00F30F6B">
      <w:pPr>
        <w:tabs>
          <w:tab w:val="left" w:pos="850"/>
          <w:tab w:val="left" w:pos="1191"/>
          <w:tab w:val="left" w:pos="1531"/>
        </w:tabs>
        <w:spacing w:after="0" w:line="240" w:lineRule="auto"/>
        <w:jc w:val="both"/>
        <w:rPr>
          <w:rFonts w:ascii="Times New Roman" w:eastAsia="Calibri" w:hAnsi="Times New Roman" w:cs="Times New Roman"/>
          <w:sz w:val="24"/>
          <w:szCs w:val="24"/>
          <w:lang w:eastAsia="zh-CN"/>
        </w:rPr>
      </w:pPr>
      <w:r w:rsidRPr="004665E0">
        <w:rPr>
          <w:rFonts w:ascii="Times New Roman" w:eastAsia="Calibri" w:hAnsi="Times New Roman" w:cs="Times New Roman"/>
          <w:b/>
          <w:sz w:val="24"/>
          <w:szCs w:val="24"/>
          <w:lang w:eastAsia="zh-CN"/>
        </w:rPr>
        <w:t>Porezna uprava</w:t>
      </w:r>
      <w:r w:rsidR="00982F54">
        <w:rPr>
          <w:rFonts w:ascii="Times New Roman" w:eastAsia="Calibri" w:hAnsi="Times New Roman" w:cs="Times New Roman"/>
          <w:b/>
          <w:sz w:val="24"/>
          <w:szCs w:val="24"/>
          <w:lang w:eastAsia="zh-CN"/>
        </w:rPr>
        <w:t xml:space="preserve"> </w:t>
      </w:r>
      <w:r w:rsidRPr="004665E0">
        <w:rPr>
          <w:rFonts w:ascii="Times New Roman" w:eastAsia="Calibri" w:hAnsi="Times New Roman" w:cs="Times New Roman"/>
          <w:sz w:val="24"/>
          <w:szCs w:val="24"/>
          <w:lang w:eastAsia="zh-CN"/>
        </w:rPr>
        <w:t>nadzire provedbu Zakona kod priređivača igara na sreću. Porezna uprava također provjerava poštuju li domaće pravne i fizičke osobe koje obavljaju registriranu djelatnost u RH propisano ograničenje naplate u gotovini u vrijednosti od 75.000,00 HRK</w:t>
      </w:r>
      <w:r>
        <w:rPr>
          <w:rFonts w:ascii="Times New Roman" w:eastAsia="Calibri" w:hAnsi="Times New Roman" w:cs="Times New Roman"/>
          <w:sz w:val="24"/>
          <w:szCs w:val="24"/>
          <w:lang w:eastAsia="zh-CN"/>
        </w:rPr>
        <w:t xml:space="preserve"> (10.000,00 EUR)</w:t>
      </w:r>
      <w:r w:rsidRPr="004665E0">
        <w:rPr>
          <w:rFonts w:ascii="Times New Roman" w:eastAsia="Calibri" w:hAnsi="Times New Roman" w:cs="Times New Roman"/>
          <w:sz w:val="24"/>
          <w:szCs w:val="24"/>
          <w:lang w:eastAsia="zh-CN"/>
        </w:rPr>
        <w:t xml:space="preserve"> i većoj.</w:t>
      </w:r>
      <w:r>
        <w:rPr>
          <w:rFonts w:ascii="Times New Roman" w:eastAsia="Calibri" w:hAnsi="Times New Roman" w:cs="Times New Roman"/>
          <w:sz w:val="24"/>
          <w:szCs w:val="24"/>
          <w:lang w:eastAsia="zh-CN"/>
        </w:rPr>
        <w:t xml:space="preserve"> </w:t>
      </w:r>
      <w:r w:rsidRPr="004665E0">
        <w:rPr>
          <w:rFonts w:ascii="Times New Roman" w:eastAsia="Calibri" w:hAnsi="Times New Roman" w:cs="Times New Roman"/>
          <w:sz w:val="24"/>
          <w:szCs w:val="24"/>
          <w:lang w:eastAsia="zh-CN"/>
        </w:rPr>
        <w:t>Porezna uprava nadzire i provedbu Zakona vezano za Registar stvarnih vlasnika, odnosno utvrđuje raspolažu li pravni subjekti i upravitelji trusta te s trustom izjednačeni subjekti stranoga prava točn</w:t>
      </w:r>
      <w:r w:rsidR="00982F54">
        <w:rPr>
          <w:rFonts w:ascii="Times New Roman" w:eastAsia="Calibri" w:hAnsi="Times New Roman" w:cs="Times New Roman"/>
          <w:sz w:val="24"/>
          <w:szCs w:val="24"/>
          <w:lang w:eastAsia="zh-CN"/>
        </w:rPr>
        <w:t>e</w:t>
      </w:r>
      <w:r w:rsidRPr="004665E0">
        <w:rPr>
          <w:rFonts w:ascii="Times New Roman" w:eastAsia="Calibri" w:hAnsi="Times New Roman" w:cs="Times New Roman"/>
          <w:sz w:val="24"/>
          <w:szCs w:val="24"/>
          <w:lang w:eastAsia="zh-CN"/>
        </w:rPr>
        <w:t xml:space="preserve"> i potpun</w:t>
      </w:r>
      <w:r w:rsidR="00982F54">
        <w:rPr>
          <w:rFonts w:ascii="Times New Roman" w:eastAsia="Calibri" w:hAnsi="Times New Roman" w:cs="Times New Roman"/>
          <w:sz w:val="24"/>
          <w:szCs w:val="24"/>
          <w:lang w:eastAsia="zh-CN"/>
        </w:rPr>
        <w:t>e</w:t>
      </w:r>
      <w:r w:rsidRPr="004665E0">
        <w:rPr>
          <w:rFonts w:ascii="Times New Roman" w:eastAsia="Calibri" w:hAnsi="Times New Roman" w:cs="Times New Roman"/>
          <w:sz w:val="24"/>
          <w:szCs w:val="24"/>
          <w:lang w:eastAsia="zh-CN"/>
        </w:rPr>
        <w:t xml:space="preserve"> podat</w:t>
      </w:r>
      <w:r w:rsidR="00982F54">
        <w:rPr>
          <w:rFonts w:ascii="Times New Roman" w:eastAsia="Calibri" w:hAnsi="Times New Roman" w:cs="Times New Roman"/>
          <w:sz w:val="24"/>
          <w:szCs w:val="24"/>
          <w:lang w:eastAsia="zh-CN"/>
        </w:rPr>
        <w:t>ke</w:t>
      </w:r>
      <w:r w:rsidRPr="004665E0">
        <w:rPr>
          <w:rFonts w:ascii="Times New Roman" w:eastAsia="Calibri" w:hAnsi="Times New Roman" w:cs="Times New Roman"/>
          <w:sz w:val="24"/>
          <w:szCs w:val="24"/>
          <w:lang w:eastAsia="zh-CN"/>
        </w:rPr>
        <w:t xml:space="preserve"> o stvarnom vlasniku i jesu li na način i u rokovima propisanima Pravilnikom o Registru stvarnih vlasnika upisali točne i potpune podatke u Registar</w:t>
      </w:r>
      <w:r w:rsidR="00982F54">
        <w:rPr>
          <w:rFonts w:ascii="Times New Roman" w:eastAsia="Calibri" w:hAnsi="Times New Roman" w:cs="Times New Roman"/>
          <w:sz w:val="24"/>
          <w:szCs w:val="24"/>
          <w:lang w:eastAsia="zh-CN"/>
        </w:rPr>
        <w:t xml:space="preserve"> stvarnih vlasnika</w:t>
      </w:r>
      <w:r w:rsidR="004372D1">
        <w:rPr>
          <w:rFonts w:ascii="Times New Roman" w:eastAsia="Calibri" w:hAnsi="Times New Roman" w:cs="Times New Roman"/>
          <w:sz w:val="24"/>
          <w:szCs w:val="24"/>
          <w:lang w:eastAsia="zh-CN"/>
        </w:rPr>
        <w:t>.</w:t>
      </w:r>
    </w:p>
    <w:p w14:paraId="487590C5" w14:textId="77777777" w:rsidR="00F30F6B" w:rsidRDefault="00F30F6B" w:rsidP="00F30F6B">
      <w:pPr>
        <w:tabs>
          <w:tab w:val="left" w:pos="850"/>
          <w:tab w:val="left" w:pos="1191"/>
          <w:tab w:val="left" w:pos="1531"/>
        </w:tabs>
        <w:spacing w:after="0" w:line="240" w:lineRule="auto"/>
        <w:jc w:val="both"/>
        <w:rPr>
          <w:rFonts w:ascii="Times New Roman" w:eastAsia="Calibri" w:hAnsi="Times New Roman" w:cs="Times New Roman"/>
          <w:sz w:val="24"/>
          <w:szCs w:val="24"/>
          <w:lang w:eastAsia="zh-CN"/>
        </w:rPr>
      </w:pPr>
    </w:p>
    <w:p w14:paraId="613FA3DD" w14:textId="2C111235" w:rsidR="00F30F6B" w:rsidRDefault="00F30F6B" w:rsidP="00F30F6B">
      <w:pPr>
        <w:tabs>
          <w:tab w:val="left" w:pos="850"/>
          <w:tab w:val="left" w:pos="1191"/>
          <w:tab w:val="left" w:pos="1531"/>
        </w:tabs>
        <w:spacing w:after="0" w:line="240" w:lineRule="auto"/>
        <w:jc w:val="both"/>
        <w:rPr>
          <w:rFonts w:ascii="Times New Roman" w:eastAsia="Calibri" w:hAnsi="Times New Roman" w:cs="Times New Roman"/>
          <w:sz w:val="24"/>
          <w:szCs w:val="24"/>
          <w:lang w:eastAsia="zh-CN"/>
        </w:rPr>
      </w:pPr>
      <w:r w:rsidRPr="004665E0">
        <w:rPr>
          <w:rFonts w:ascii="Times New Roman" w:eastAsia="Calibri" w:hAnsi="Times New Roman" w:cs="Times New Roman"/>
          <w:b/>
          <w:sz w:val="24"/>
          <w:szCs w:val="24"/>
          <w:lang w:eastAsia="zh-CN"/>
        </w:rPr>
        <w:t>Carinska uprava</w:t>
      </w:r>
      <w:r w:rsidRPr="00554CC2">
        <w:rPr>
          <w:rFonts w:ascii="Times New Roman" w:eastAsia="Calibri" w:hAnsi="Times New Roman" w:cs="Times New Roman"/>
          <w:sz w:val="24"/>
          <w:szCs w:val="24"/>
          <w:lang w:eastAsia="zh-CN"/>
        </w:rPr>
        <w:t xml:space="preserve"> </w:t>
      </w:r>
      <w:r w:rsidRPr="004665E0">
        <w:rPr>
          <w:rFonts w:ascii="Times New Roman" w:eastAsia="Calibri" w:hAnsi="Times New Roman" w:cs="Times New Roman"/>
          <w:sz w:val="24"/>
          <w:szCs w:val="24"/>
          <w:lang w:eastAsia="zh-CN"/>
        </w:rPr>
        <w:t>nadzire prijenos gotovine preko državne granice</w:t>
      </w:r>
      <w:bookmarkStart w:id="8" w:name="_Toc74662589"/>
    </w:p>
    <w:p w14:paraId="617E4E5E" w14:textId="77777777" w:rsidR="00F30F6B" w:rsidRDefault="00F30F6B" w:rsidP="00F30F6B">
      <w:pPr>
        <w:tabs>
          <w:tab w:val="left" w:pos="850"/>
          <w:tab w:val="left" w:pos="1191"/>
          <w:tab w:val="left" w:pos="1531"/>
        </w:tabs>
        <w:spacing w:after="0" w:line="240" w:lineRule="auto"/>
        <w:jc w:val="both"/>
        <w:rPr>
          <w:rFonts w:ascii="Times New Roman" w:eastAsia="Calibri" w:hAnsi="Times New Roman" w:cs="Times New Roman"/>
          <w:sz w:val="24"/>
          <w:szCs w:val="24"/>
          <w:lang w:eastAsia="zh-CN"/>
        </w:rPr>
      </w:pPr>
    </w:p>
    <w:p w14:paraId="45915A5E" w14:textId="1DF90055" w:rsidR="00F30F6B" w:rsidRPr="004665E0" w:rsidRDefault="00F30F6B" w:rsidP="00F30F6B">
      <w:pPr>
        <w:tabs>
          <w:tab w:val="left" w:pos="850"/>
          <w:tab w:val="left" w:pos="1191"/>
          <w:tab w:val="left" w:pos="1531"/>
        </w:tabs>
        <w:spacing w:after="0" w:line="240" w:lineRule="auto"/>
        <w:jc w:val="both"/>
        <w:rPr>
          <w:rFonts w:ascii="Times New Roman" w:eastAsia="Times New Roman" w:hAnsi="Times New Roman" w:cs="Times New Roman"/>
          <w:sz w:val="24"/>
          <w:szCs w:val="24"/>
          <w:lang w:eastAsia="zh-CN"/>
        </w:rPr>
      </w:pPr>
      <w:r w:rsidRPr="004665E0">
        <w:rPr>
          <w:rFonts w:ascii="Times New Roman" w:eastAsia="Calibri" w:hAnsi="Times New Roman" w:cs="Arial"/>
          <w:b/>
          <w:sz w:val="24"/>
          <w:szCs w:val="44"/>
          <w:lang w:eastAsia="hr-HR"/>
        </w:rPr>
        <w:lastRenderedPageBreak/>
        <w:t>Ured za sprječavanje pranja novca</w:t>
      </w:r>
      <w:bookmarkEnd w:id="8"/>
      <w:r>
        <w:rPr>
          <w:rFonts w:ascii="Times New Roman" w:eastAsia="Times New Roman" w:hAnsi="Times New Roman" w:cs="Times New Roman"/>
          <w:sz w:val="24"/>
          <w:szCs w:val="24"/>
          <w:lang w:eastAsia="zh-CN"/>
        </w:rPr>
        <w:t xml:space="preserve"> </w:t>
      </w:r>
      <w:r w:rsidR="005C362A">
        <w:rPr>
          <w:rFonts w:ascii="Times New Roman" w:eastAsia="Times New Roman" w:hAnsi="Times New Roman" w:cs="Times New Roman"/>
          <w:sz w:val="24"/>
          <w:szCs w:val="24"/>
          <w:lang w:eastAsia="zh-CN"/>
        </w:rPr>
        <w:t xml:space="preserve">je </w:t>
      </w:r>
      <w:r w:rsidRPr="004665E0">
        <w:rPr>
          <w:rFonts w:ascii="Times New Roman" w:eastAsia="Times New Roman" w:hAnsi="Times New Roman" w:cs="Times New Roman"/>
          <w:sz w:val="24"/>
          <w:szCs w:val="24"/>
          <w:lang w:eastAsia="zh-CN"/>
        </w:rPr>
        <w:t xml:space="preserve">hrvatska financijsko-obavještajna jedinica </w:t>
      </w:r>
      <w:r w:rsidR="005C362A">
        <w:rPr>
          <w:rFonts w:ascii="Times New Roman" w:eastAsia="Times New Roman" w:hAnsi="Times New Roman" w:cs="Times New Roman"/>
          <w:sz w:val="24"/>
          <w:szCs w:val="24"/>
          <w:lang w:eastAsia="zh-CN"/>
        </w:rPr>
        <w:t xml:space="preserve">odnosno </w:t>
      </w:r>
      <w:r w:rsidRPr="004665E0">
        <w:rPr>
          <w:rFonts w:ascii="Times New Roman" w:eastAsia="Times New Roman" w:hAnsi="Times New Roman" w:cs="Times New Roman"/>
          <w:sz w:val="24"/>
          <w:szCs w:val="24"/>
          <w:lang w:eastAsia="zh-CN"/>
        </w:rPr>
        <w:t>posredničko tijelo, s jedne strane, između financijskog i nefinancijskog sektora (banaka i dr.), koji Uredu prijavljuju sumnjive transakcije i tijela za provedbu zakona (policije i odvjetništva), te sudova, s druge strane, odnosno Ured je središnje tijelo koje koordinira sve sudionike iz sustava SPNFT.</w:t>
      </w:r>
      <w:bookmarkStart w:id="9" w:name="_Toc71371404"/>
    </w:p>
    <w:p w14:paraId="7444A967" w14:textId="77777777" w:rsidR="00F30F6B" w:rsidRPr="004665E0" w:rsidRDefault="00F30F6B" w:rsidP="00F30F6B">
      <w:pPr>
        <w:tabs>
          <w:tab w:val="left" w:pos="850"/>
          <w:tab w:val="left" w:pos="1191"/>
          <w:tab w:val="left" w:pos="1531"/>
        </w:tabs>
        <w:spacing w:after="0" w:line="240" w:lineRule="auto"/>
        <w:jc w:val="both"/>
        <w:rPr>
          <w:rFonts w:ascii="Times New Roman" w:eastAsia="Times New Roman" w:hAnsi="Times New Roman" w:cs="Times New Roman"/>
          <w:sz w:val="24"/>
          <w:szCs w:val="24"/>
          <w:lang w:eastAsia="zh-CN"/>
        </w:rPr>
      </w:pPr>
    </w:p>
    <w:bookmarkEnd w:id="9"/>
    <w:p w14:paraId="0923CBC8" w14:textId="77777777" w:rsidR="00F30F6B" w:rsidRPr="004665E0" w:rsidRDefault="00F30F6B" w:rsidP="00F30F6B">
      <w:pPr>
        <w:tabs>
          <w:tab w:val="left" w:pos="850"/>
          <w:tab w:val="left" w:pos="1191"/>
          <w:tab w:val="left" w:pos="1531"/>
        </w:tabs>
        <w:spacing w:after="0" w:line="240" w:lineRule="auto"/>
        <w:jc w:val="both"/>
        <w:rPr>
          <w:rFonts w:ascii="Times New Roman" w:eastAsia="Times New Roman" w:hAnsi="Times New Roman" w:cs="Times New Roman"/>
          <w:sz w:val="24"/>
          <w:szCs w:val="24"/>
          <w:lang w:eastAsia="zh-CN"/>
        </w:rPr>
      </w:pPr>
    </w:p>
    <w:p w14:paraId="3D4D78C5" w14:textId="77777777" w:rsidR="00F30F6B" w:rsidRDefault="00F30F6B" w:rsidP="00F30F6B">
      <w:pPr>
        <w:tabs>
          <w:tab w:val="left" w:pos="850"/>
          <w:tab w:val="left" w:pos="1191"/>
          <w:tab w:val="left" w:pos="1531"/>
        </w:tab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Tijela kaznenog progona:</w:t>
      </w:r>
    </w:p>
    <w:p w14:paraId="601EF17C" w14:textId="77777777" w:rsidR="00F30F6B" w:rsidRDefault="00F30F6B" w:rsidP="00F30F6B">
      <w:pPr>
        <w:tabs>
          <w:tab w:val="left" w:pos="850"/>
          <w:tab w:val="left" w:pos="1191"/>
          <w:tab w:val="left" w:pos="1531"/>
        </w:tabs>
        <w:spacing w:after="0" w:line="240" w:lineRule="auto"/>
        <w:jc w:val="both"/>
        <w:rPr>
          <w:rFonts w:ascii="Times New Roman" w:eastAsia="Times New Roman" w:hAnsi="Times New Roman" w:cs="Times New Roman"/>
          <w:b/>
          <w:sz w:val="24"/>
          <w:szCs w:val="24"/>
          <w:lang w:eastAsia="zh-CN"/>
        </w:rPr>
      </w:pPr>
    </w:p>
    <w:p w14:paraId="1E230CAC" w14:textId="2B752DF3" w:rsidR="00F30F6B" w:rsidRPr="004665E0" w:rsidRDefault="00F30F6B" w:rsidP="00F30F6B">
      <w:pPr>
        <w:tabs>
          <w:tab w:val="left" w:pos="850"/>
          <w:tab w:val="left" w:pos="1191"/>
          <w:tab w:val="left" w:pos="1531"/>
        </w:tabs>
        <w:spacing w:after="0" w:line="240" w:lineRule="auto"/>
        <w:jc w:val="both"/>
        <w:rPr>
          <w:rFonts w:ascii="Times New Roman" w:eastAsia="Times New Roman" w:hAnsi="Times New Roman" w:cs="Times New Roman"/>
          <w:sz w:val="24"/>
          <w:szCs w:val="24"/>
          <w:lang w:eastAsia="zh-CN"/>
        </w:rPr>
      </w:pPr>
      <w:r w:rsidRPr="004665E0">
        <w:rPr>
          <w:rFonts w:ascii="Times New Roman" w:eastAsia="Times New Roman" w:hAnsi="Times New Roman" w:cs="Times New Roman"/>
          <w:b/>
          <w:sz w:val="24"/>
          <w:szCs w:val="24"/>
          <w:lang w:eastAsia="zh-CN"/>
        </w:rPr>
        <w:t>Državno odvjetništvo</w:t>
      </w:r>
      <w:r w:rsidRPr="004665E0">
        <w:rPr>
          <w:rFonts w:ascii="Times New Roman" w:eastAsia="Times New Roman" w:hAnsi="Times New Roman" w:cs="Times New Roman"/>
          <w:sz w:val="24"/>
          <w:szCs w:val="24"/>
          <w:lang w:eastAsia="zh-CN"/>
        </w:rPr>
        <w:t xml:space="preserve"> koordinira rad policije i drugih nadzornih tijela u </w:t>
      </w:r>
      <w:r w:rsidR="005C362A">
        <w:rPr>
          <w:rFonts w:ascii="Times New Roman" w:eastAsia="Times New Roman" w:hAnsi="Times New Roman" w:cs="Times New Roman"/>
          <w:sz w:val="24"/>
          <w:szCs w:val="24"/>
          <w:lang w:eastAsia="zh-CN"/>
        </w:rPr>
        <w:t>kaznenim postupcima</w:t>
      </w:r>
      <w:r w:rsidRPr="004665E0">
        <w:rPr>
          <w:rFonts w:ascii="Times New Roman" w:eastAsia="Times New Roman" w:hAnsi="Times New Roman" w:cs="Times New Roman"/>
          <w:sz w:val="24"/>
          <w:szCs w:val="24"/>
          <w:lang w:eastAsia="zh-CN"/>
        </w:rPr>
        <w:t xml:space="preserve"> pranja novca </w:t>
      </w:r>
      <w:r w:rsidR="005C362A">
        <w:rPr>
          <w:rFonts w:ascii="Times New Roman" w:eastAsia="Times New Roman" w:hAnsi="Times New Roman" w:cs="Times New Roman"/>
          <w:sz w:val="24"/>
          <w:szCs w:val="24"/>
          <w:lang w:eastAsia="zh-CN"/>
        </w:rPr>
        <w:t>iniciranim</w:t>
      </w:r>
      <w:r w:rsidRPr="004665E0">
        <w:rPr>
          <w:rFonts w:ascii="Times New Roman" w:eastAsia="Times New Roman" w:hAnsi="Times New Roman" w:cs="Times New Roman"/>
          <w:sz w:val="24"/>
          <w:szCs w:val="24"/>
          <w:lang w:eastAsia="zh-CN"/>
        </w:rPr>
        <w:t xml:space="preserve"> predmetima Ureda i predmetima drugih tijela iz sustava sprječavanja PN/F</w:t>
      </w:r>
      <w:r>
        <w:rPr>
          <w:rFonts w:ascii="Times New Roman" w:eastAsia="Times New Roman" w:hAnsi="Times New Roman" w:cs="Times New Roman"/>
          <w:sz w:val="24"/>
          <w:szCs w:val="24"/>
          <w:lang w:eastAsia="zh-CN"/>
        </w:rPr>
        <w:t>T</w:t>
      </w:r>
      <w:r w:rsidRPr="004665E0">
        <w:rPr>
          <w:rFonts w:ascii="Times New Roman" w:eastAsia="Times New Roman" w:hAnsi="Times New Roman" w:cs="Times New Roman"/>
          <w:sz w:val="24"/>
          <w:szCs w:val="24"/>
          <w:lang w:eastAsia="zh-CN"/>
        </w:rPr>
        <w:t xml:space="preserve">. </w:t>
      </w:r>
    </w:p>
    <w:p w14:paraId="41A9E82B" w14:textId="78AE7214" w:rsidR="00F30F6B" w:rsidRPr="004665E0" w:rsidRDefault="00F30F6B" w:rsidP="00F30F6B">
      <w:pPr>
        <w:tabs>
          <w:tab w:val="left" w:pos="850"/>
          <w:tab w:val="left" w:pos="1191"/>
          <w:tab w:val="left" w:pos="1531"/>
        </w:tabs>
        <w:spacing w:before="120" w:after="0" w:line="240" w:lineRule="auto"/>
        <w:jc w:val="both"/>
        <w:rPr>
          <w:rFonts w:ascii="Times New Roman" w:eastAsia="Times New Roman" w:hAnsi="Times New Roman" w:cs="Times New Roman"/>
          <w:sz w:val="24"/>
          <w:szCs w:val="24"/>
          <w:lang w:eastAsia="zh-CN"/>
        </w:rPr>
      </w:pPr>
      <w:r w:rsidRPr="004665E0">
        <w:rPr>
          <w:rFonts w:ascii="Times New Roman" w:eastAsia="Times New Roman" w:hAnsi="Times New Roman" w:cs="Times New Roman"/>
          <w:b/>
          <w:sz w:val="24"/>
          <w:szCs w:val="24"/>
          <w:lang w:eastAsia="zh-CN"/>
        </w:rPr>
        <w:t>USKOK</w:t>
      </w:r>
      <w:r w:rsidRPr="004665E0">
        <w:rPr>
          <w:rFonts w:ascii="Times New Roman" w:eastAsia="Times New Roman" w:hAnsi="Times New Roman" w:cs="Times New Roman"/>
          <w:sz w:val="24"/>
          <w:szCs w:val="24"/>
          <w:lang w:eastAsia="zh-CN"/>
        </w:rPr>
        <w:t xml:space="preserve"> je posebno državno odvjetništvo, specijalizirano za progon korupcij</w:t>
      </w:r>
      <w:r w:rsidR="005C362A">
        <w:rPr>
          <w:rFonts w:ascii="Times New Roman" w:eastAsia="Times New Roman" w:hAnsi="Times New Roman" w:cs="Times New Roman"/>
          <w:sz w:val="24"/>
          <w:szCs w:val="24"/>
          <w:lang w:eastAsia="zh-CN"/>
        </w:rPr>
        <w:t>e i organiziranog kriminaliteta</w:t>
      </w:r>
      <w:r w:rsidRPr="004665E0">
        <w:rPr>
          <w:rFonts w:ascii="Times New Roman" w:eastAsia="Times New Roman" w:hAnsi="Times New Roman" w:cs="Times New Roman"/>
          <w:sz w:val="24"/>
          <w:szCs w:val="24"/>
          <w:lang w:eastAsia="zh-CN"/>
        </w:rPr>
        <w:t xml:space="preserve">. </w:t>
      </w:r>
    </w:p>
    <w:p w14:paraId="2E3C909D" w14:textId="77777777" w:rsidR="00F30F6B" w:rsidRDefault="00F30F6B" w:rsidP="00F30F6B">
      <w:pPr>
        <w:tabs>
          <w:tab w:val="left" w:pos="850"/>
          <w:tab w:val="left" w:pos="1191"/>
          <w:tab w:val="left" w:pos="1531"/>
        </w:tabs>
        <w:spacing w:after="0" w:line="240" w:lineRule="auto"/>
        <w:jc w:val="both"/>
        <w:rPr>
          <w:rFonts w:ascii="Times New Roman" w:eastAsia="Times New Roman" w:hAnsi="Times New Roman" w:cs="Times New Roman"/>
          <w:b/>
          <w:sz w:val="24"/>
          <w:szCs w:val="24"/>
          <w:lang w:eastAsia="zh-CN"/>
        </w:rPr>
      </w:pPr>
    </w:p>
    <w:p w14:paraId="6484AC74" w14:textId="77777777" w:rsidR="00F30F6B" w:rsidRPr="004665E0" w:rsidRDefault="00F30F6B" w:rsidP="00F30F6B">
      <w:pPr>
        <w:tabs>
          <w:tab w:val="left" w:pos="850"/>
          <w:tab w:val="left" w:pos="1191"/>
          <w:tab w:val="left" w:pos="1531"/>
        </w:tabs>
        <w:spacing w:after="0" w:line="240" w:lineRule="auto"/>
        <w:jc w:val="both"/>
        <w:rPr>
          <w:rFonts w:ascii="Times New Roman" w:eastAsia="Times New Roman" w:hAnsi="Times New Roman" w:cs="Times New Roman"/>
          <w:sz w:val="24"/>
          <w:szCs w:val="24"/>
          <w:lang w:eastAsia="zh-CN"/>
        </w:rPr>
      </w:pPr>
      <w:r w:rsidRPr="004665E0">
        <w:rPr>
          <w:rFonts w:ascii="Times New Roman" w:eastAsia="Times New Roman" w:hAnsi="Times New Roman" w:cs="Times New Roman"/>
          <w:b/>
          <w:sz w:val="24"/>
          <w:szCs w:val="24"/>
          <w:lang w:eastAsia="zh-CN"/>
        </w:rPr>
        <w:t>Policija</w:t>
      </w:r>
      <w:r w:rsidRPr="004665E0">
        <w:rPr>
          <w:rFonts w:ascii="Times New Roman" w:eastAsia="Times New Roman" w:hAnsi="Times New Roman" w:cs="Times New Roman"/>
          <w:sz w:val="24"/>
          <w:szCs w:val="24"/>
          <w:lang w:eastAsia="zh-CN"/>
        </w:rPr>
        <w:t xml:space="preserve"> provodi policijske izvide i financijske istrage kaznenog djela pranja novca postupajući po predmetima iniciranim od strane Ureda, od strane drugih tijela nadzora te predmeta pokrenutih na vlastitu inicijativu.</w:t>
      </w:r>
    </w:p>
    <w:p w14:paraId="50D8BAAD" w14:textId="77777777" w:rsidR="00F30F6B" w:rsidRPr="004665E0" w:rsidRDefault="00F30F6B" w:rsidP="00F30F6B">
      <w:pPr>
        <w:tabs>
          <w:tab w:val="left" w:pos="850"/>
          <w:tab w:val="left" w:pos="1191"/>
          <w:tab w:val="left" w:pos="1531"/>
        </w:tabs>
        <w:spacing w:before="120" w:after="0" w:line="240" w:lineRule="auto"/>
        <w:jc w:val="both"/>
        <w:rPr>
          <w:rFonts w:ascii="Times New Roman" w:eastAsia="Times New Roman" w:hAnsi="Times New Roman" w:cs="Times New Roman"/>
          <w:sz w:val="24"/>
          <w:szCs w:val="24"/>
          <w:lang w:eastAsia="zh-CN"/>
        </w:rPr>
      </w:pPr>
      <w:r w:rsidRPr="004665E0">
        <w:rPr>
          <w:rFonts w:ascii="Times New Roman" w:eastAsia="Times New Roman" w:hAnsi="Times New Roman" w:cs="Times New Roman"/>
          <w:b/>
          <w:sz w:val="24"/>
          <w:szCs w:val="24"/>
          <w:lang w:eastAsia="zh-CN"/>
        </w:rPr>
        <w:t xml:space="preserve">PNUSKOK </w:t>
      </w:r>
      <w:r w:rsidRPr="004665E0">
        <w:rPr>
          <w:rFonts w:ascii="Times New Roman" w:eastAsia="Times New Roman" w:hAnsi="Times New Roman" w:cs="Times New Roman"/>
          <w:sz w:val="24"/>
          <w:szCs w:val="24"/>
          <w:lang w:eastAsia="zh-CN"/>
        </w:rPr>
        <w:t>je ustrojstvena jedinica policije koja</w:t>
      </w:r>
      <w:r w:rsidRPr="004665E0">
        <w:rPr>
          <w:rFonts w:ascii="Times New Roman" w:eastAsia="Times New Roman" w:hAnsi="Times New Roman" w:cs="Times New Roman"/>
          <w:b/>
          <w:sz w:val="24"/>
          <w:szCs w:val="24"/>
          <w:lang w:eastAsia="zh-CN"/>
        </w:rPr>
        <w:t xml:space="preserve"> </w:t>
      </w:r>
      <w:r w:rsidRPr="004665E0">
        <w:rPr>
          <w:rFonts w:ascii="Times New Roman" w:eastAsia="Times New Roman" w:hAnsi="Times New Roman" w:cs="Times New Roman"/>
          <w:sz w:val="24"/>
          <w:szCs w:val="24"/>
          <w:lang w:eastAsia="zh-CN"/>
        </w:rPr>
        <w:t>izravno provodi složenija kriminalistička istraživanja korupcije, organiziranog kriminaliteta i terorizma na nacionalnoj razini u uskoj suradnji s USKOK-om.</w:t>
      </w:r>
    </w:p>
    <w:p w14:paraId="257E6534" w14:textId="77777777" w:rsidR="00F30F6B" w:rsidRPr="004665E0" w:rsidRDefault="00F30F6B" w:rsidP="00F30F6B">
      <w:pPr>
        <w:tabs>
          <w:tab w:val="left" w:pos="850"/>
          <w:tab w:val="left" w:pos="1191"/>
          <w:tab w:val="left" w:pos="1531"/>
        </w:tabs>
        <w:spacing w:after="0" w:line="240" w:lineRule="auto"/>
        <w:ind w:left="390"/>
        <w:contextualSpacing/>
        <w:jc w:val="both"/>
        <w:rPr>
          <w:rFonts w:ascii="Times New Roman" w:eastAsia="Times New Roman" w:hAnsi="Times New Roman" w:cs="Times New Roman"/>
          <w:b/>
          <w:sz w:val="24"/>
          <w:szCs w:val="24"/>
          <w:lang w:eastAsia="zh-CN"/>
        </w:rPr>
      </w:pPr>
    </w:p>
    <w:p w14:paraId="7CFD3402" w14:textId="77777777" w:rsidR="00F30F6B" w:rsidRPr="00061CFB" w:rsidRDefault="00F30F6B" w:rsidP="00F30F6B">
      <w:pPr>
        <w:tabs>
          <w:tab w:val="left" w:pos="850"/>
          <w:tab w:val="left" w:pos="1191"/>
          <w:tab w:val="left" w:pos="1531"/>
        </w:tabs>
        <w:spacing w:after="0" w:line="240" w:lineRule="auto"/>
        <w:jc w:val="both"/>
        <w:rPr>
          <w:rFonts w:ascii="Times New Roman" w:eastAsia="Times New Roman" w:hAnsi="Times New Roman" w:cs="Times New Roman"/>
          <w:b/>
          <w:sz w:val="24"/>
          <w:szCs w:val="24"/>
          <w:lang w:eastAsia="zh-CN"/>
        </w:rPr>
      </w:pPr>
      <w:r w:rsidRPr="00061CFB">
        <w:rPr>
          <w:rFonts w:ascii="Times New Roman" w:eastAsia="Times New Roman" w:hAnsi="Times New Roman" w:cs="Times New Roman"/>
          <w:b/>
          <w:sz w:val="24"/>
          <w:szCs w:val="24"/>
          <w:lang w:eastAsia="zh-CN"/>
        </w:rPr>
        <w:t>Pravosuđe:</w:t>
      </w:r>
    </w:p>
    <w:p w14:paraId="18C132CE" w14:textId="77777777" w:rsidR="00F30F6B" w:rsidRDefault="00F30F6B" w:rsidP="00F30F6B">
      <w:pPr>
        <w:tabs>
          <w:tab w:val="left" w:pos="850"/>
          <w:tab w:val="left" w:pos="1191"/>
          <w:tab w:val="left" w:pos="1531"/>
        </w:tabs>
        <w:spacing w:after="0" w:line="240" w:lineRule="auto"/>
        <w:jc w:val="both"/>
        <w:rPr>
          <w:rFonts w:ascii="Times New Roman" w:eastAsia="Times New Roman" w:hAnsi="Times New Roman" w:cs="Times New Roman"/>
          <w:sz w:val="24"/>
          <w:szCs w:val="24"/>
          <w:lang w:eastAsia="zh-CN"/>
        </w:rPr>
      </w:pPr>
    </w:p>
    <w:p w14:paraId="46C6C8E6" w14:textId="77777777" w:rsidR="00F30F6B" w:rsidRPr="004665E0" w:rsidRDefault="00F30F6B" w:rsidP="00F30F6B">
      <w:pPr>
        <w:tabs>
          <w:tab w:val="left" w:pos="850"/>
          <w:tab w:val="left" w:pos="1191"/>
          <w:tab w:val="left" w:pos="1531"/>
        </w:tabs>
        <w:spacing w:after="0" w:line="240" w:lineRule="auto"/>
        <w:jc w:val="both"/>
        <w:rPr>
          <w:rFonts w:ascii="Times New Roman" w:eastAsia="Times New Roman" w:hAnsi="Times New Roman" w:cs="Times New Roman"/>
          <w:sz w:val="24"/>
          <w:szCs w:val="24"/>
          <w:lang w:eastAsia="zh-CN"/>
        </w:rPr>
      </w:pPr>
      <w:r w:rsidRPr="004665E0">
        <w:rPr>
          <w:rFonts w:ascii="Times New Roman" w:eastAsia="Times New Roman" w:hAnsi="Times New Roman" w:cs="Times New Roman"/>
          <w:sz w:val="24"/>
          <w:szCs w:val="24"/>
          <w:lang w:eastAsia="zh-CN"/>
        </w:rPr>
        <w:t>Pred sudom se provodi kazneni postupak za kazneno djelo pranja novca, financiranja terorizma i oduzimanje imovinske koristi za postupke koji su inicirani od strane svih nadležnih tijela iz sustava sprječavanja PN/FT.</w:t>
      </w:r>
    </w:p>
    <w:p w14:paraId="53160502" w14:textId="77777777" w:rsidR="00F30F6B" w:rsidRPr="004665E0" w:rsidRDefault="00F30F6B" w:rsidP="00F30F6B">
      <w:pPr>
        <w:tabs>
          <w:tab w:val="left" w:pos="850"/>
          <w:tab w:val="left" w:pos="1191"/>
          <w:tab w:val="left" w:pos="1531"/>
        </w:tabs>
        <w:spacing w:after="0" w:line="240" w:lineRule="auto"/>
        <w:jc w:val="both"/>
        <w:rPr>
          <w:rFonts w:ascii="Times New Roman" w:eastAsia="Times New Roman" w:hAnsi="Times New Roman" w:cs="Times New Roman"/>
          <w:sz w:val="24"/>
          <w:szCs w:val="24"/>
          <w:lang w:eastAsia="zh-CN"/>
        </w:rPr>
      </w:pPr>
    </w:p>
    <w:p w14:paraId="5B642B6F" w14:textId="77777777" w:rsidR="004372D1" w:rsidRDefault="004372D1">
      <w:pPr>
        <w:rPr>
          <w:rFonts w:ascii="Times New Roman" w:eastAsia="SimSun" w:hAnsi="Times New Roman" w:cs="Times New Roman"/>
          <w:sz w:val="24"/>
          <w:szCs w:val="24"/>
          <w:lang w:eastAsia="hr-HR"/>
        </w:rPr>
      </w:pPr>
      <w:r>
        <w:rPr>
          <w:rFonts w:eastAsia="SimSun"/>
          <w:b/>
        </w:rPr>
        <w:br w:type="page"/>
      </w:r>
    </w:p>
    <w:p w14:paraId="6A80A47F" w14:textId="1D8A3D73" w:rsidR="003D798B" w:rsidRPr="006F34C8" w:rsidRDefault="00AB43D4" w:rsidP="00AB43D4">
      <w:pPr>
        <w:pStyle w:val="Naslov3"/>
      </w:pPr>
      <w:bookmarkStart w:id="10" w:name="_Toc153353417"/>
      <w:r>
        <w:lastRenderedPageBreak/>
        <w:t>1.1.</w:t>
      </w:r>
      <w:r>
        <w:tab/>
      </w:r>
      <w:bookmarkEnd w:id="4"/>
      <w:bookmarkEnd w:id="5"/>
      <w:r w:rsidR="003C649F">
        <w:t>Uloga i zadaće Ureda za sprječavanje pranja novca</w:t>
      </w:r>
      <w:bookmarkEnd w:id="10"/>
    </w:p>
    <w:p w14:paraId="64338975" w14:textId="77777777" w:rsidR="003D798B" w:rsidRPr="003D798B" w:rsidRDefault="003D798B" w:rsidP="003D798B">
      <w:pPr>
        <w:shd w:val="clear" w:color="auto" w:fill="FFFFFF"/>
        <w:spacing w:after="0" w:line="240" w:lineRule="auto"/>
        <w:jc w:val="both"/>
        <w:rPr>
          <w:rFonts w:ascii="Times New Roman" w:eastAsia="Calibri" w:hAnsi="Times New Roman" w:cs="Times New Roman"/>
          <w:bCs/>
          <w:sz w:val="24"/>
          <w:szCs w:val="24"/>
        </w:rPr>
      </w:pPr>
    </w:p>
    <w:p w14:paraId="282D27DF" w14:textId="77777777" w:rsidR="003D798B" w:rsidRPr="003D798B" w:rsidRDefault="003D798B" w:rsidP="003D798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D798B">
        <w:rPr>
          <w:rFonts w:ascii="Times New Roman" w:eastAsia="Calibri" w:hAnsi="Times New Roman" w:cs="Times New Roman"/>
          <w:sz w:val="24"/>
          <w:szCs w:val="24"/>
        </w:rPr>
        <w:t xml:space="preserve">Ured je financijsko-obavještajna jedinica Republike Hrvatske ustrojena u sastavu Ministarstva financija, kao posebna ustrojstvena jedinica i potpuno je operativno neovisan i autonoman u svom postupanju. </w:t>
      </w:r>
    </w:p>
    <w:p w14:paraId="675F4BBC" w14:textId="77777777" w:rsidR="003D798B" w:rsidRPr="003D798B" w:rsidRDefault="003D798B" w:rsidP="003D798B">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4DE94E34" w14:textId="2E13B53C" w:rsidR="003D798B" w:rsidRPr="003D798B" w:rsidRDefault="005C362A" w:rsidP="003D798B">
      <w:pPr>
        <w:autoSpaceDE w:val="0"/>
        <w:autoSpaceDN w:val="0"/>
        <w:adjustRightInd w:val="0"/>
        <w:spacing w:after="0" w:line="240" w:lineRule="auto"/>
        <w:jc w:val="both"/>
        <w:rPr>
          <w:rFonts w:ascii="Times New Roman" w:eastAsia="Times New Roman" w:hAnsi="Times New Roman" w:cs="Times New Roman"/>
          <w:bCs/>
          <w:iCs/>
          <w:sz w:val="24"/>
          <w:szCs w:val="24"/>
          <w:lang w:eastAsia="hr-HR"/>
        </w:rPr>
      </w:pPr>
      <w:r>
        <w:rPr>
          <w:rFonts w:ascii="Times New Roman" w:eastAsia="Times New Roman" w:hAnsi="Times New Roman" w:cs="Times New Roman"/>
          <w:bCs/>
          <w:iCs/>
          <w:sz w:val="24"/>
          <w:szCs w:val="24"/>
          <w:lang w:eastAsia="hr-HR"/>
        </w:rPr>
        <w:t>U skladu sa</w:t>
      </w:r>
      <w:r w:rsidR="003D798B" w:rsidRPr="003D798B">
        <w:rPr>
          <w:rFonts w:ascii="Times New Roman" w:eastAsia="Times New Roman" w:hAnsi="Times New Roman" w:cs="Times New Roman"/>
          <w:bCs/>
          <w:iCs/>
          <w:sz w:val="24"/>
          <w:szCs w:val="24"/>
          <w:lang w:eastAsia="hr-HR"/>
        </w:rPr>
        <w:t xml:space="preserve"> Zakon</w:t>
      </w:r>
      <w:r>
        <w:rPr>
          <w:rFonts w:ascii="Times New Roman" w:eastAsia="Times New Roman" w:hAnsi="Times New Roman" w:cs="Times New Roman"/>
          <w:bCs/>
          <w:iCs/>
          <w:sz w:val="24"/>
          <w:szCs w:val="24"/>
          <w:lang w:eastAsia="hr-HR"/>
        </w:rPr>
        <w:t>om</w:t>
      </w:r>
      <w:r w:rsidR="003D798B" w:rsidRPr="003D798B">
        <w:rPr>
          <w:rFonts w:ascii="Times New Roman" w:eastAsia="Times New Roman" w:hAnsi="Times New Roman" w:cs="Times New Roman"/>
          <w:bCs/>
          <w:iCs/>
          <w:sz w:val="24"/>
          <w:szCs w:val="24"/>
          <w:lang w:eastAsia="hr-HR"/>
        </w:rPr>
        <w:t xml:space="preserve"> i međunarodnim standardima hrvatski Ured je financijsko-obavještajna jedinica administrativnog tipa, koja služi kao nacionalni centar za zaprimanje i analizu obavijesti o sumnjivim transakcijama i procjenu ostalih informacija relevantnih za sprječavanje i otkrivanje pranja novca i financiranja terorizma, odnosno Ured primarno ima zadaću: </w:t>
      </w:r>
    </w:p>
    <w:p w14:paraId="0A69F1BE" w14:textId="77777777" w:rsidR="003D798B" w:rsidRPr="003D798B" w:rsidRDefault="003D798B" w:rsidP="003D798B">
      <w:pPr>
        <w:autoSpaceDE w:val="0"/>
        <w:autoSpaceDN w:val="0"/>
        <w:adjustRightInd w:val="0"/>
        <w:spacing w:after="0" w:line="240" w:lineRule="auto"/>
        <w:jc w:val="both"/>
        <w:rPr>
          <w:rFonts w:ascii="Times New Roman" w:eastAsia="Times New Roman" w:hAnsi="Times New Roman" w:cs="Times New Roman"/>
          <w:bCs/>
          <w:iCs/>
          <w:sz w:val="24"/>
          <w:szCs w:val="24"/>
          <w:lang w:eastAsia="hr-HR"/>
        </w:rPr>
      </w:pPr>
    </w:p>
    <w:p w14:paraId="1D6BB921" w14:textId="04464188" w:rsidR="003D798B" w:rsidRPr="003D798B" w:rsidRDefault="003D798B" w:rsidP="00BD4933">
      <w:pPr>
        <w:numPr>
          <w:ilvl w:val="0"/>
          <w:numId w:val="2"/>
        </w:numPr>
        <w:tabs>
          <w:tab w:val="left" w:pos="850"/>
          <w:tab w:val="left" w:pos="1191"/>
          <w:tab w:val="left" w:pos="1531"/>
        </w:tabs>
        <w:autoSpaceDE w:val="0"/>
        <w:autoSpaceDN w:val="0"/>
        <w:adjustRightInd w:val="0"/>
        <w:spacing w:after="0" w:line="240" w:lineRule="auto"/>
        <w:jc w:val="both"/>
        <w:rPr>
          <w:rFonts w:ascii="Times New Roman" w:eastAsia="Times New Roman" w:hAnsi="Times New Roman" w:cs="Times New Roman"/>
          <w:bCs/>
          <w:iCs/>
          <w:sz w:val="24"/>
          <w:szCs w:val="24"/>
          <w:lang w:eastAsia="hr-HR"/>
        </w:rPr>
      </w:pPr>
      <w:r w:rsidRPr="003D798B">
        <w:rPr>
          <w:rFonts w:ascii="Times New Roman" w:eastAsia="Times New Roman" w:hAnsi="Times New Roman" w:cs="Times New Roman"/>
          <w:bCs/>
          <w:iCs/>
          <w:sz w:val="24"/>
          <w:szCs w:val="24"/>
          <w:lang w:eastAsia="hr-HR"/>
        </w:rPr>
        <w:t>operativno analizirati sumnjive transakcije zaprimljen</w:t>
      </w:r>
      <w:r w:rsidR="00E205F1">
        <w:rPr>
          <w:rFonts w:ascii="Times New Roman" w:eastAsia="Times New Roman" w:hAnsi="Times New Roman" w:cs="Times New Roman"/>
          <w:bCs/>
          <w:iCs/>
          <w:sz w:val="24"/>
          <w:szCs w:val="24"/>
          <w:lang w:eastAsia="hr-HR"/>
        </w:rPr>
        <w:t>e od banaka i drugih obveznika</w:t>
      </w:r>
      <w:r w:rsidRPr="003D798B">
        <w:rPr>
          <w:rFonts w:ascii="Times New Roman" w:eastAsia="Times New Roman" w:hAnsi="Times New Roman" w:cs="Times New Roman"/>
          <w:bCs/>
          <w:iCs/>
          <w:sz w:val="24"/>
          <w:szCs w:val="24"/>
          <w:lang w:eastAsia="hr-HR"/>
        </w:rPr>
        <w:t xml:space="preserve"> i druge informacije zaprimljene od inozemnih financijsko</w:t>
      </w:r>
      <w:r w:rsidR="00E205F1">
        <w:rPr>
          <w:rFonts w:ascii="Times New Roman" w:eastAsia="Times New Roman" w:hAnsi="Times New Roman" w:cs="Times New Roman"/>
          <w:bCs/>
          <w:iCs/>
          <w:sz w:val="24"/>
          <w:szCs w:val="24"/>
          <w:lang w:eastAsia="hr-HR"/>
        </w:rPr>
        <w:t>-</w:t>
      </w:r>
      <w:r w:rsidRPr="003D798B">
        <w:rPr>
          <w:rFonts w:ascii="Times New Roman" w:eastAsia="Times New Roman" w:hAnsi="Times New Roman" w:cs="Times New Roman"/>
          <w:bCs/>
          <w:iCs/>
          <w:sz w:val="24"/>
          <w:szCs w:val="24"/>
          <w:lang w:eastAsia="hr-HR"/>
        </w:rPr>
        <w:t xml:space="preserve"> obavještajnih jedinica usmjerenih na individualne slučajeve u cilju utvrđivanja postoje li u vezi s transakcijom, određenom osobom ili sredstvima razlozi za sumnju na pranje novca i financiranje terorizma </w:t>
      </w:r>
    </w:p>
    <w:p w14:paraId="48A9D5D1" w14:textId="77777777" w:rsidR="003D798B" w:rsidRPr="003D798B" w:rsidRDefault="003D798B" w:rsidP="00BD4933">
      <w:pPr>
        <w:numPr>
          <w:ilvl w:val="0"/>
          <w:numId w:val="2"/>
        </w:numPr>
        <w:tabs>
          <w:tab w:val="left" w:pos="850"/>
          <w:tab w:val="left" w:pos="1191"/>
          <w:tab w:val="left" w:pos="1531"/>
        </w:tabs>
        <w:autoSpaceDE w:val="0"/>
        <w:autoSpaceDN w:val="0"/>
        <w:adjustRightInd w:val="0"/>
        <w:spacing w:after="0" w:line="240" w:lineRule="auto"/>
        <w:jc w:val="both"/>
        <w:rPr>
          <w:rFonts w:ascii="Times New Roman" w:eastAsia="Times New Roman" w:hAnsi="Times New Roman" w:cs="Times New Roman"/>
          <w:bCs/>
          <w:iCs/>
          <w:sz w:val="24"/>
          <w:szCs w:val="24"/>
          <w:lang w:eastAsia="hr-HR"/>
        </w:rPr>
      </w:pPr>
      <w:r w:rsidRPr="003D798B">
        <w:rPr>
          <w:rFonts w:ascii="Times New Roman" w:eastAsia="Times New Roman" w:hAnsi="Times New Roman" w:cs="Times New Roman"/>
          <w:bCs/>
          <w:iCs/>
          <w:sz w:val="24"/>
          <w:szCs w:val="24"/>
          <w:lang w:eastAsia="hr-HR"/>
        </w:rPr>
        <w:t>dostavljati</w:t>
      </w:r>
      <w:r w:rsidRPr="003D798B">
        <w:rPr>
          <w:rFonts w:ascii="Times New Roman" w:eastAsia="Calibri" w:hAnsi="Times New Roman" w:cs="Times New Roman"/>
          <w:sz w:val="24"/>
          <w:szCs w:val="24"/>
        </w:rPr>
        <w:t xml:space="preserve"> </w:t>
      </w:r>
      <w:r w:rsidRPr="003D798B">
        <w:rPr>
          <w:rFonts w:ascii="Times New Roman" w:eastAsia="Times New Roman" w:hAnsi="Times New Roman" w:cs="Times New Roman"/>
          <w:bCs/>
          <w:iCs/>
          <w:sz w:val="24"/>
          <w:szCs w:val="24"/>
          <w:lang w:eastAsia="hr-HR"/>
        </w:rPr>
        <w:t xml:space="preserve">nadležnim državnim tijelima (DORH-u, USKOKU-u, PNUSKOK-u i dr.) i inozemnim financijsko obavještajnim jedinicama na daljnje postupanje obavijesti o individualnim slučajevima sa sumnjom na pranje novca i/ili financiranje terorizma </w:t>
      </w:r>
    </w:p>
    <w:p w14:paraId="367CA0EC" w14:textId="77777777" w:rsidR="003D798B" w:rsidRPr="003D798B" w:rsidRDefault="003D798B" w:rsidP="003D798B">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66364A16" w14:textId="3310EA8C" w:rsidR="003D798B" w:rsidRPr="006A72D3" w:rsidRDefault="00E205F1" w:rsidP="003D798B">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w:t>
      </w:r>
      <w:r w:rsidR="003D798B" w:rsidRPr="006A72D3">
        <w:rPr>
          <w:rFonts w:ascii="Times New Roman" w:eastAsia="Times New Roman" w:hAnsi="Times New Roman" w:cs="Times New Roman"/>
          <w:bCs/>
          <w:sz w:val="24"/>
          <w:szCs w:val="24"/>
          <w:lang w:eastAsia="hr-HR"/>
        </w:rPr>
        <w:t xml:space="preserve">lučajevi koje je Ured proslijedio na daljnje postupanje nadležnim državnim tijelima i inozemnim financijsko-obavještajnim jedinicama sa sumnjom na pranje novca i financiranje terorizma predmet daljnjih postupaka nadležnih državnih tijela (provođenje izvida, kriminalističkih obrada i financijskih istraga) u cilju pokretanja kaznenog postupka za kazneno djelo pranje novca ili za kazneno djelo financiranje terorizma. </w:t>
      </w:r>
      <w:r>
        <w:rPr>
          <w:rFonts w:ascii="Times New Roman" w:eastAsia="Times New Roman" w:hAnsi="Times New Roman" w:cs="Times New Roman"/>
          <w:bCs/>
          <w:sz w:val="24"/>
          <w:szCs w:val="24"/>
          <w:lang w:eastAsia="hr-HR"/>
        </w:rPr>
        <w:t>D</w:t>
      </w:r>
      <w:r w:rsidR="003D798B" w:rsidRPr="006A72D3">
        <w:rPr>
          <w:rFonts w:ascii="Times New Roman" w:eastAsia="Times New Roman" w:hAnsi="Times New Roman" w:cs="Times New Roman"/>
          <w:bCs/>
          <w:sz w:val="24"/>
          <w:szCs w:val="24"/>
          <w:lang w:eastAsia="hr-HR"/>
        </w:rPr>
        <w:t>onošenjem pravomoćne sudske presude za kazneno djelo pranja novca potvrđuje nezakonitost sredstava i ista trajno oduzimaju.</w:t>
      </w:r>
    </w:p>
    <w:p w14:paraId="4BC50B5A" w14:textId="77777777" w:rsidR="003D798B" w:rsidRPr="003D798B" w:rsidRDefault="003D798B" w:rsidP="003D798B">
      <w:pPr>
        <w:autoSpaceDE w:val="0"/>
        <w:autoSpaceDN w:val="0"/>
        <w:adjustRightInd w:val="0"/>
        <w:spacing w:after="0" w:line="240" w:lineRule="auto"/>
        <w:jc w:val="both"/>
        <w:rPr>
          <w:rFonts w:ascii="Times New Roman" w:eastAsia="Times New Roman" w:hAnsi="Times New Roman" w:cs="Times New Roman"/>
          <w:bCs/>
          <w:iCs/>
          <w:sz w:val="24"/>
          <w:szCs w:val="24"/>
          <w:lang w:eastAsia="hr-HR"/>
        </w:rPr>
      </w:pPr>
    </w:p>
    <w:p w14:paraId="615161F9" w14:textId="7D759540" w:rsidR="003D798B" w:rsidRPr="003D798B" w:rsidRDefault="003D798B" w:rsidP="003D798B">
      <w:pPr>
        <w:autoSpaceDE w:val="0"/>
        <w:autoSpaceDN w:val="0"/>
        <w:adjustRightInd w:val="0"/>
        <w:spacing w:after="0" w:line="240" w:lineRule="auto"/>
        <w:jc w:val="both"/>
        <w:rPr>
          <w:rFonts w:ascii="Times New Roman" w:eastAsia="Times New Roman" w:hAnsi="Times New Roman" w:cs="Times New Roman"/>
          <w:bCs/>
          <w:iCs/>
          <w:sz w:val="24"/>
          <w:szCs w:val="24"/>
          <w:lang w:eastAsia="hr-HR"/>
        </w:rPr>
      </w:pPr>
      <w:r w:rsidRPr="003D798B">
        <w:rPr>
          <w:rFonts w:ascii="Times New Roman" w:eastAsia="Times New Roman" w:hAnsi="Times New Roman" w:cs="Times New Roman"/>
          <w:bCs/>
          <w:iCs/>
          <w:sz w:val="24"/>
          <w:szCs w:val="24"/>
          <w:lang w:eastAsia="hr-HR"/>
        </w:rPr>
        <w:t xml:space="preserve">Osim analitičko obavještajne obrade </w:t>
      </w:r>
      <w:r w:rsidR="005C362A">
        <w:rPr>
          <w:rFonts w:ascii="Times New Roman" w:eastAsia="Times New Roman" w:hAnsi="Times New Roman" w:cs="Times New Roman"/>
          <w:bCs/>
          <w:iCs/>
          <w:sz w:val="24"/>
          <w:szCs w:val="24"/>
          <w:lang w:eastAsia="hr-HR"/>
        </w:rPr>
        <w:t>konkretnih slučajeva</w:t>
      </w:r>
      <w:r w:rsidRPr="003D798B">
        <w:rPr>
          <w:rFonts w:ascii="Times New Roman" w:eastAsia="Times New Roman" w:hAnsi="Times New Roman" w:cs="Times New Roman"/>
          <w:bCs/>
          <w:iCs/>
          <w:sz w:val="24"/>
          <w:szCs w:val="24"/>
          <w:lang w:eastAsia="hr-HR"/>
        </w:rPr>
        <w:t>, Ured obavlja</w:t>
      </w:r>
      <w:r w:rsidR="005C362A">
        <w:rPr>
          <w:rFonts w:ascii="Times New Roman" w:eastAsia="Times New Roman" w:hAnsi="Times New Roman" w:cs="Times New Roman"/>
          <w:bCs/>
          <w:iCs/>
          <w:sz w:val="24"/>
          <w:szCs w:val="24"/>
          <w:lang w:eastAsia="hr-HR"/>
        </w:rPr>
        <w:t xml:space="preserve"> i</w:t>
      </w:r>
      <w:r w:rsidRPr="003D798B">
        <w:rPr>
          <w:rFonts w:ascii="Times New Roman" w:eastAsia="Times New Roman" w:hAnsi="Times New Roman" w:cs="Times New Roman"/>
          <w:bCs/>
          <w:iCs/>
          <w:sz w:val="24"/>
          <w:szCs w:val="24"/>
          <w:lang w:eastAsia="hr-HR"/>
        </w:rPr>
        <w:t xml:space="preserve"> sljedeće poslove: </w:t>
      </w:r>
    </w:p>
    <w:p w14:paraId="0A2864FA" w14:textId="39FF7897" w:rsidR="003D798B" w:rsidRPr="003D798B" w:rsidRDefault="00E205F1" w:rsidP="00BD4933">
      <w:pPr>
        <w:numPr>
          <w:ilvl w:val="0"/>
          <w:numId w:val="2"/>
        </w:numPr>
        <w:tabs>
          <w:tab w:val="left" w:pos="850"/>
          <w:tab w:val="left" w:pos="1191"/>
          <w:tab w:val="left" w:pos="1531"/>
        </w:tabs>
        <w:autoSpaceDE w:val="0"/>
        <w:autoSpaceDN w:val="0"/>
        <w:adjustRightInd w:val="0"/>
        <w:spacing w:before="60" w:after="0" w:line="240" w:lineRule="auto"/>
        <w:jc w:val="both"/>
        <w:rPr>
          <w:rFonts w:ascii="Times New Roman" w:eastAsia="Times New Roman" w:hAnsi="Times New Roman" w:cs="Times New Roman"/>
          <w:bCs/>
          <w:iCs/>
          <w:sz w:val="24"/>
          <w:szCs w:val="24"/>
          <w:lang w:eastAsia="hr-HR"/>
        </w:rPr>
      </w:pPr>
      <w:r>
        <w:rPr>
          <w:rFonts w:ascii="Times New Roman" w:eastAsia="Times New Roman" w:hAnsi="Times New Roman" w:cs="Times New Roman"/>
          <w:bCs/>
          <w:iCs/>
          <w:sz w:val="24"/>
          <w:szCs w:val="24"/>
          <w:lang w:eastAsia="hr-HR"/>
        </w:rPr>
        <w:t>provođenje</w:t>
      </w:r>
      <w:r w:rsidR="003D798B" w:rsidRPr="003D798B">
        <w:rPr>
          <w:rFonts w:ascii="Times New Roman" w:eastAsia="Times New Roman" w:hAnsi="Times New Roman" w:cs="Times New Roman"/>
          <w:bCs/>
          <w:iCs/>
          <w:sz w:val="24"/>
          <w:szCs w:val="24"/>
          <w:lang w:eastAsia="hr-HR"/>
        </w:rPr>
        <w:t xml:space="preserve"> strategijskih analiza zaprimljenih i prikupljenih podataka od obveznika, te podataka dostavljenih Uredu od nadležnih tijela i inozemnih financijsko obavještajnih jedinica, a koje uključuju utvrđivanje tipologija, uzoraka i trendova pranja novca i financiranja terorizma, projektiranje, razvoj i održavanje informacijskog sustava, održavanje i nadzor sustava zaštite podataka</w:t>
      </w:r>
    </w:p>
    <w:p w14:paraId="4AB6844A" w14:textId="6A948C26" w:rsidR="003D798B" w:rsidRPr="003D798B" w:rsidRDefault="003D798B" w:rsidP="00BD4933">
      <w:pPr>
        <w:numPr>
          <w:ilvl w:val="0"/>
          <w:numId w:val="3"/>
        </w:numPr>
        <w:tabs>
          <w:tab w:val="left" w:pos="850"/>
          <w:tab w:val="left" w:pos="1191"/>
          <w:tab w:val="left" w:pos="1531"/>
        </w:tabs>
        <w:autoSpaceDE w:val="0"/>
        <w:autoSpaceDN w:val="0"/>
        <w:adjustRightInd w:val="0"/>
        <w:spacing w:before="60" w:after="0" w:line="240" w:lineRule="auto"/>
        <w:contextualSpacing/>
        <w:jc w:val="both"/>
        <w:rPr>
          <w:rFonts w:ascii="Times New Roman" w:eastAsia="Times New Roman" w:hAnsi="Times New Roman" w:cs="Times New Roman"/>
          <w:bCs/>
          <w:iCs/>
          <w:sz w:val="24"/>
          <w:szCs w:val="24"/>
          <w:lang w:eastAsia="hr-HR"/>
        </w:rPr>
      </w:pPr>
      <w:r w:rsidRPr="003D798B">
        <w:rPr>
          <w:rFonts w:ascii="Times New Roman" w:eastAsia="Times New Roman" w:hAnsi="Times New Roman" w:cs="Times New Roman"/>
          <w:bCs/>
          <w:iCs/>
          <w:sz w:val="24"/>
          <w:szCs w:val="24"/>
          <w:lang w:eastAsia="hr-HR"/>
        </w:rPr>
        <w:t>prevencije i neizravnog nadzora obveznika u okviru kojih poslova službenici Ureda su zaduženi za vođenje podskupine MIRS-a za nadzor; davanje smjernic</w:t>
      </w:r>
      <w:r w:rsidR="005C362A">
        <w:rPr>
          <w:rFonts w:ascii="Times New Roman" w:eastAsia="Times New Roman" w:hAnsi="Times New Roman" w:cs="Times New Roman"/>
          <w:bCs/>
          <w:iCs/>
          <w:sz w:val="24"/>
          <w:szCs w:val="24"/>
          <w:lang w:eastAsia="hr-HR"/>
        </w:rPr>
        <w:t>a</w:t>
      </w:r>
      <w:r w:rsidRPr="003D798B">
        <w:rPr>
          <w:rFonts w:ascii="Times New Roman" w:eastAsia="Times New Roman" w:hAnsi="Times New Roman" w:cs="Times New Roman"/>
          <w:bCs/>
          <w:iCs/>
          <w:sz w:val="24"/>
          <w:szCs w:val="24"/>
          <w:lang w:eastAsia="hr-HR"/>
        </w:rPr>
        <w:t xml:space="preserve"> obveznicima o primjeni odredbi Zakona koje se odnose na obavještavanje Ureda o sumnjivim i gotovinskim transakc</w:t>
      </w:r>
      <w:r w:rsidR="00E205F1">
        <w:rPr>
          <w:rFonts w:ascii="Times New Roman" w:eastAsia="Times New Roman" w:hAnsi="Times New Roman" w:cs="Times New Roman"/>
          <w:bCs/>
          <w:iCs/>
          <w:sz w:val="24"/>
          <w:szCs w:val="24"/>
          <w:lang w:eastAsia="hr-HR"/>
        </w:rPr>
        <w:t>ijama,</w:t>
      </w:r>
      <w:r w:rsidRPr="003D798B">
        <w:rPr>
          <w:rFonts w:ascii="Times New Roman" w:eastAsia="Times New Roman" w:hAnsi="Times New Roman" w:cs="Times New Roman"/>
          <w:bCs/>
          <w:iCs/>
          <w:sz w:val="24"/>
          <w:szCs w:val="24"/>
          <w:lang w:eastAsia="hr-HR"/>
        </w:rPr>
        <w:t xml:space="preserve"> </w:t>
      </w:r>
      <w:r w:rsidR="005C362A">
        <w:rPr>
          <w:rFonts w:ascii="Times New Roman" w:eastAsia="Times New Roman" w:hAnsi="Times New Roman" w:cs="Times New Roman"/>
          <w:bCs/>
          <w:iCs/>
          <w:sz w:val="24"/>
          <w:szCs w:val="24"/>
          <w:lang w:eastAsia="hr-HR"/>
        </w:rPr>
        <w:t>izradu</w:t>
      </w:r>
      <w:r w:rsidRPr="003D798B">
        <w:rPr>
          <w:rFonts w:ascii="Times New Roman" w:eastAsia="Times New Roman" w:hAnsi="Times New Roman" w:cs="Times New Roman"/>
          <w:bCs/>
          <w:iCs/>
          <w:sz w:val="24"/>
          <w:szCs w:val="24"/>
          <w:lang w:eastAsia="hr-HR"/>
        </w:rPr>
        <w:t xml:space="preserve"> zakonodavnih akata i davanj</w:t>
      </w:r>
      <w:r w:rsidR="00E205F1">
        <w:rPr>
          <w:rFonts w:ascii="Times New Roman" w:eastAsia="Times New Roman" w:hAnsi="Times New Roman" w:cs="Times New Roman"/>
          <w:bCs/>
          <w:iCs/>
          <w:sz w:val="24"/>
          <w:szCs w:val="24"/>
          <w:lang w:eastAsia="hr-HR"/>
        </w:rPr>
        <w:t>e mišljenja na zakonodavne akte,</w:t>
      </w:r>
      <w:r w:rsidRPr="003D798B">
        <w:rPr>
          <w:rFonts w:ascii="Times New Roman" w:eastAsia="Times New Roman" w:hAnsi="Times New Roman" w:cs="Times New Roman"/>
          <w:bCs/>
          <w:iCs/>
          <w:sz w:val="24"/>
          <w:szCs w:val="24"/>
          <w:lang w:eastAsia="hr-HR"/>
        </w:rPr>
        <w:t xml:space="preserve"> obavljanje administrativnih poslova vezanih za Registar stvarnih vlasnika</w:t>
      </w:r>
    </w:p>
    <w:p w14:paraId="56FDF0EF" w14:textId="5F9E9922" w:rsidR="003D798B" w:rsidRPr="003D798B" w:rsidRDefault="003D798B" w:rsidP="00BD4933">
      <w:pPr>
        <w:numPr>
          <w:ilvl w:val="0"/>
          <w:numId w:val="3"/>
        </w:numPr>
        <w:tabs>
          <w:tab w:val="left" w:pos="850"/>
          <w:tab w:val="left" w:pos="1191"/>
          <w:tab w:val="left" w:pos="1531"/>
        </w:tabs>
        <w:spacing w:before="60" w:after="0" w:line="240" w:lineRule="auto"/>
        <w:contextualSpacing/>
        <w:jc w:val="both"/>
        <w:rPr>
          <w:rFonts w:ascii="Times New Roman" w:eastAsia="Times New Roman" w:hAnsi="Times New Roman" w:cs="Times New Roman"/>
          <w:bCs/>
          <w:iCs/>
          <w:sz w:val="24"/>
          <w:szCs w:val="24"/>
          <w:lang w:eastAsia="hr-HR"/>
        </w:rPr>
      </w:pPr>
      <w:r w:rsidRPr="003D798B">
        <w:rPr>
          <w:rFonts w:ascii="Times New Roman" w:eastAsia="Times New Roman" w:hAnsi="Times New Roman" w:cs="Times New Roman"/>
          <w:bCs/>
          <w:iCs/>
          <w:sz w:val="24"/>
          <w:szCs w:val="24"/>
          <w:lang w:eastAsia="hr-HR"/>
        </w:rPr>
        <w:t xml:space="preserve">međuinstitucionalne i međunarodne suradnje u okviru kojih poslova službenici Ureda su zaduženi za vođenje MIRS-a, vođenje projekta Nacionalne procjene rizika, vođenje delegacije RH pri Odboru Vijeća Europe MONEYVAL, pružanje podrške u obavljanju poslova tijela Europske unije, </w:t>
      </w:r>
      <w:r w:rsidR="005C362A">
        <w:rPr>
          <w:rFonts w:ascii="Times New Roman" w:eastAsia="Times New Roman" w:hAnsi="Times New Roman" w:cs="Times New Roman"/>
          <w:bCs/>
          <w:iCs/>
          <w:sz w:val="24"/>
          <w:szCs w:val="24"/>
          <w:lang w:eastAsia="hr-HR"/>
        </w:rPr>
        <w:t>izradu</w:t>
      </w:r>
      <w:r w:rsidRPr="003D798B">
        <w:rPr>
          <w:rFonts w:ascii="Times New Roman" w:eastAsia="Times New Roman" w:hAnsi="Times New Roman" w:cs="Times New Roman"/>
          <w:bCs/>
          <w:iCs/>
          <w:sz w:val="24"/>
          <w:szCs w:val="24"/>
          <w:lang w:eastAsia="hr-HR"/>
        </w:rPr>
        <w:t xml:space="preserve"> zakonodavnih akata i davanje mišljenja na zakonodavne akte.</w:t>
      </w:r>
    </w:p>
    <w:p w14:paraId="2DE54C44" w14:textId="77777777" w:rsidR="005F392D" w:rsidRDefault="005F392D" w:rsidP="006F34C8">
      <w:pPr>
        <w:spacing w:after="0" w:line="240" w:lineRule="auto"/>
        <w:rPr>
          <w:rFonts w:ascii="Times New Roman" w:hAnsi="Times New Roman" w:cs="Times New Roman"/>
          <w:b/>
          <w:sz w:val="24"/>
          <w:szCs w:val="24"/>
          <w:lang w:eastAsia="hr-HR"/>
        </w:rPr>
      </w:pPr>
    </w:p>
    <w:p w14:paraId="2335EB3B" w14:textId="77777777" w:rsidR="006A72D3" w:rsidRDefault="006A72D3" w:rsidP="006F34C8">
      <w:pPr>
        <w:spacing w:after="0" w:line="240" w:lineRule="auto"/>
        <w:rPr>
          <w:rFonts w:ascii="Times New Roman" w:hAnsi="Times New Roman" w:cs="Times New Roman"/>
          <w:b/>
          <w:sz w:val="24"/>
          <w:szCs w:val="24"/>
          <w:lang w:eastAsia="hr-HR"/>
        </w:rPr>
      </w:pPr>
    </w:p>
    <w:p w14:paraId="4F54D092" w14:textId="7F0B40A5" w:rsidR="005C362A" w:rsidRDefault="005C362A">
      <w:pPr>
        <w:rPr>
          <w:rFonts w:ascii="Times New Roman" w:hAnsi="Times New Roman" w:cs="Times New Roman"/>
          <w:b/>
          <w:sz w:val="24"/>
          <w:szCs w:val="24"/>
          <w:lang w:eastAsia="hr-HR"/>
        </w:rPr>
      </w:pPr>
      <w:r>
        <w:rPr>
          <w:rFonts w:ascii="Times New Roman" w:hAnsi="Times New Roman" w:cs="Times New Roman"/>
          <w:b/>
          <w:sz w:val="24"/>
          <w:szCs w:val="24"/>
          <w:lang w:eastAsia="hr-HR"/>
        </w:rPr>
        <w:br w:type="page"/>
      </w:r>
    </w:p>
    <w:p w14:paraId="50AB99E1" w14:textId="29BCE974" w:rsidR="003D798B" w:rsidRPr="006F34C8" w:rsidRDefault="003D798B" w:rsidP="006F34C8">
      <w:pPr>
        <w:spacing w:after="0" w:line="240" w:lineRule="auto"/>
        <w:rPr>
          <w:rFonts w:ascii="Times New Roman" w:hAnsi="Times New Roman" w:cs="Times New Roman"/>
          <w:b/>
          <w:sz w:val="24"/>
          <w:szCs w:val="24"/>
          <w:lang w:eastAsia="hr-HR"/>
        </w:rPr>
      </w:pPr>
      <w:r w:rsidRPr="006F34C8">
        <w:rPr>
          <w:rFonts w:ascii="Times New Roman" w:hAnsi="Times New Roman" w:cs="Times New Roman"/>
          <w:b/>
          <w:sz w:val="24"/>
          <w:szCs w:val="24"/>
          <w:lang w:eastAsia="hr-HR"/>
        </w:rPr>
        <w:lastRenderedPageBreak/>
        <w:t>Organizacijska struktura Ureda</w:t>
      </w:r>
    </w:p>
    <w:p w14:paraId="623B2A06" w14:textId="77777777" w:rsidR="003D798B" w:rsidRPr="003D798B" w:rsidRDefault="003D798B" w:rsidP="003D798B">
      <w:pPr>
        <w:spacing w:after="0" w:line="240" w:lineRule="auto"/>
        <w:jc w:val="both"/>
        <w:rPr>
          <w:rFonts w:ascii="Times New Roman" w:eastAsia="Calibri" w:hAnsi="Times New Roman" w:cs="Times New Roman"/>
          <w:sz w:val="24"/>
          <w:szCs w:val="24"/>
        </w:rPr>
      </w:pPr>
      <w:r w:rsidRPr="003D798B">
        <w:rPr>
          <w:rFonts w:ascii="Times New Roman" w:eastAsia="Times New Roman" w:hAnsi="Times New Roman" w:cs="Times New Roman"/>
          <w:noProof/>
          <w:lang w:eastAsia="hr-HR"/>
        </w:rPr>
        <w:drawing>
          <wp:inline distT="0" distB="0" distL="0" distR="0" wp14:anchorId="6FB26723" wp14:editId="2A2B9F94">
            <wp:extent cx="6169660" cy="5448300"/>
            <wp:effectExtent l="0" t="0" r="254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2">
                      <a:extLst>
                        <a:ext uri="{28A0092B-C50C-407E-A947-70E740481C1C}">
                          <a14:useLocalDpi xmlns:a14="http://schemas.microsoft.com/office/drawing/2010/main" val="0"/>
                        </a:ext>
                      </a:extLst>
                    </a:blip>
                    <a:srcRect t="2507" b="2350"/>
                    <a:stretch>
                      <a:fillRect/>
                    </a:stretch>
                  </pic:blipFill>
                  <pic:spPr bwMode="auto">
                    <a:xfrm>
                      <a:off x="0" y="0"/>
                      <a:ext cx="6169660" cy="5448300"/>
                    </a:xfrm>
                    <a:prstGeom prst="rect">
                      <a:avLst/>
                    </a:prstGeom>
                    <a:noFill/>
                    <a:ln>
                      <a:noFill/>
                    </a:ln>
                  </pic:spPr>
                </pic:pic>
              </a:graphicData>
            </a:graphic>
          </wp:inline>
        </w:drawing>
      </w:r>
    </w:p>
    <w:p w14:paraId="12C8077E" w14:textId="77777777" w:rsidR="003D798B" w:rsidRPr="003D798B" w:rsidRDefault="003D798B" w:rsidP="003D798B">
      <w:pPr>
        <w:spacing w:after="0" w:line="240" w:lineRule="auto"/>
        <w:jc w:val="both"/>
        <w:rPr>
          <w:rFonts w:ascii="Times New Roman" w:eastAsia="Calibri" w:hAnsi="Times New Roman" w:cs="Times New Roman"/>
          <w:sz w:val="24"/>
          <w:szCs w:val="24"/>
        </w:rPr>
      </w:pPr>
    </w:p>
    <w:p w14:paraId="1ED4220D" w14:textId="59499D91" w:rsidR="003D798B" w:rsidRDefault="003D798B" w:rsidP="005F392D">
      <w:pPr>
        <w:spacing w:after="0" w:line="240" w:lineRule="auto"/>
        <w:rPr>
          <w:rFonts w:ascii="Times New Roman" w:hAnsi="Times New Roman" w:cs="Times New Roman"/>
          <w:b/>
          <w:sz w:val="24"/>
          <w:szCs w:val="24"/>
          <w:lang w:eastAsia="hr-HR"/>
        </w:rPr>
      </w:pPr>
      <w:r w:rsidRPr="005F392D">
        <w:rPr>
          <w:rFonts w:ascii="Times New Roman" w:hAnsi="Times New Roman" w:cs="Times New Roman"/>
          <w:b/>
          <w:sz w:val="24"/>
          <w:szCs w:val="24"/>
          <w:lang w:eastAsia="hr-HR"/>
        </w:rPr>
        <w:t xml:space="preserve">Kadrovska popunjenost Ureda </w:t>
      </w:r>
    </w:p>
    <w:p w14:paraId="782EBA6F" w14:textId="77777777" w:rsidR="002118EE" w:rsidRPr="005F392D" w:rsidRDefault="002118EE" w:rsidP="005F392D">
      <w:pPr>
        <w:spacing w:after="0" w:line="240" w:lineRule="auto"/>
        <w:rPr>
          <w:rFonts w:ascii="Times New Roman" w:hAnsi="Times New Roman" w:cs="Times New Roman"/>
          <w:b/>
          <w:sz w:val="24"/>
          <w:szCs w:val="24"/>
          <w:lang w:eastAsia="hr-HR"/>
        </w:rPr>
      </w:pPr>
    </w:p>
    <w:p w14:paraId="2EDBAAFF" w14:textId="79465C2C" w:rsidR="00375117" w:rsidRPr="005F392D" w:rsidRDefault="003D798B" w:rsidP="003D798B">
      <w:pPr>
        <w:spacing w:after="0" w:line="240" w:lineRule="auto"/>
        <w:jc w:val="both"/>
        <w:rPr>
          <w:rFonts w:ascii="Times New Roman" w:eastAsia="Calibri" w:hAnsi="Times New Roman" w:cs="Times New Roman"/>
          <w:iCs/>
          <w:sz w:val="24"/>
          <w:szCs w:val="24"/>
          <w:lang w:eastAsia="hr-HR"/>
        </w:rPr>
      </w:pPr>
      <w:r w:rsidRPr="005F392D">
        <w:rPr>
          <w:rFonts w:ascii="Times New Roman" w:eastAsia="Calibri" w:hAnsi="Times New Roman" w:cs="Times New Roman"/>
          <w:iCs/>
          <w:sz w:val="24"/>
          <w:szCs w:val="24"/>
          <w:lang w:eastAsia="hr-HR"/>
        </w:rPr>
        <w:t>U Tablici br. 1. prikazani su podatci o broju zaposlenih u odnosu na broj sistematiziranih radnih mjesta i stručnoj spremi zaposlenih u Uredu za razdoblje 2017.-2022.</w:t>
      </w:r>
    </w:p>
    <w:bookmarkEnd w:id="6"/>
    <w:bookmarkEnd w:id="7"/>
    <w:p w14:paraId="6B2A75BB" w14:textId="77777777" w:rsidR="008914BE" w:rsidRPr="004665E0" w:rsidRDefault="008914BE" w:rsidP="008914BE">
      <w:pPr>
        <w:tabs>
          <w:tab w:val="left" w:pos="850"/>
          <w:tab w:val="left" w:pos="1191"/>
          <w:tab w:val="left" w:pos="1531"/>
        </w:tabs>
        <w:spacing w:after="120" w:line="240" w:lineRule="auto"/>
        <w:jc w:val="both"/>
        <w:rPr>
          <w:rFonts w:ascii="Times New Roman" w:eastAsia="SimSun" w:hAnsi="Times New Roman" w:cs="Times New Roman"/>
          <w:b/>
          <w:sz w:val="24"/>
          <w:szCs w:val="24"/>
          <w:lang w:eastAsia="zh-CN"/>
        </w:rPr>
      </w:pPr>
    </w:p>
    <w:tbl>
      <w:tblPr>
        <w:tblW w:w="7372" w:type="dxa"/>
        <w:jc w:val="center"/>
        <w:tblLayout w:type="fixed"/>
        <w:tblLook w:val="04A0" w:firstRow="1" w:lastRow="0" w:firstColumn="1" w:lastColumn="0" w:noHBand="0" w:noVBand="1"/>
      </w:tblPr>
      <w:tblGrid>
        <w:gridCol w:w="846"/>
        <w:gridCol w:w="1706"/>
        <w:gridCol w:w="987"/>
        <w:gridCol w:w="992"/>
        <w:gridCol w:w="1560"/>
        <w:gridCol w:w="1281"/>
      </w:tblGrid>
      <w:tr w:rsidR="008914BE" w:rsidRPr="005C362A" w14:paraId="1140CD30" w14:textId="77777777" w:rsidTr="008914BE">
        <w:trPr>
          <w:trHeight w:val="404"/>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56F385B6"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Cs/>
                <w:sz w:val="20"/>
                <w:szCs w:val="20"/>
                <w:lang w:eastAsia="hr-HR"/>
              </w:rPr>
            </w:pPr>
            <w:r w:rsidRPr="005C362A">
              <w:rPr>
                <w:rFonts w:ascii="Times New Roman" w:eastAsia="Times New Roman" w:hAnsi="Times New Roman" w:cs="Times New Roman"/>
                <w:bCs/>
                <w:sz w:val="20"/>
                <w:szCs w:val="20"/>
                <w:lang w:eastAsia="hr-HR"/>
              </w:rPr>
              <w:t>Godina</w:t>
            </w:r>
          </w:p>
        </w:tc>
        <w:tc>
          <w:tcPr>
            <w:tcW w:w="1706" w:type="dxa"/>
            <w:vMerge w:val="restart"/>
            <w:tcBorders>
              <w:top w:val="single" w:sz="4" w:space="0" w:color="auto"/>
              <w:left w:val="nil"/>
              <w:bottom w:val="single" w:sz="4" w:space="0" w:color="auto"/>
              <w:right w:val="single" w:sz="4" w:space="0" w:color="auto"/>
            </w:tcBorders>
            <w:shd w:val="clear" w:color="auto" w:fill="DEEAF6"/>
            <w:vAlign w:val="center"/>
            <w:hideMark/>
          </w:tcPr>
          <w:p w14:paraId="575D7DD8"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Cs/>
                <w:sz w:val="20"/>
                <w:szCs w:val="20"/>
                <w:lang w:eastAsia="hr-HR"/>
              </w:rPr>
            </w:pPr>
            <w:r w:rsidRPr="005C362A">
              <w:rPr>
                <w:rFonts w:ascii="Times New Roman" w:eastAsia="Times New Roman" w:hAnsi="Times New Roman" w:cs="Times New Roman"/>
                <w:bCs/>
                <w:sz w:val="20"/>
                <w:szCs w:val="20"/>
                <w:lang w:eastAsia="hr-HR"/>
              </w:rPr>
              <w:t>Broj radnih mjesta prema sistematizaciji</w:t>
            </w:r>
          </w:p>
        </w:tc>
        <w:tc>
          <w:tcPr>
            <w:tcW w:w="987" w:type="dxa"/>
            <w:vMerge w:val="restart"/>
            <w:tcBorders>
              <w:top w:val="single" w:sz="4" w:space="0" w:color="auto"/>
              <w:left w:val="nil"/>
              <w:bottom w:val="single" w:sz="4" w:space="0" w:color="auto"/>
              <w:right w:val="single" w:sz="4" w:space="0" w:color="auto"/>
            </w:tcBorders>
            <w:shd w:val="clear" w:color="auto" w:fill="DEEAF6"/>
            <w:vAlign w:val="center"/>
            <w:hideMark/>
          </w:tcPr>
          <w:p w14:paraId="38B1A26F"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Cs/>
                <w:sz w:val="20"/>
                <w:szCs w:val="20"/>
                <w:lang w:eastAsia="hr-HR"/>
              </w:rPr>
            </w:pPr>
            <w:r w:rsidRPr="005C362A">
              <w:rPr>
                <w:rFonts w:ascii="Times New Roman" w:eastAsia="Times New Roman" w:hAnsi="Times New Roman" w:cs="Times New Roman"/>
                <w:bCs/>
                <w:sz w:val="20"/>
                <w:szCs w:val="20"/>
                <w:lang w:eastAsia="hr-HR"/>
              </w:rPr>
              <w:t>Broj zaposlenih</w:t>
            </w:r>
          </w:p>
        </w:tc>
        <w:tc>
          <w:tcPr>
            <w:tcW w:w="992" w:type="dxa"/>
            <w:vMerge w:val="restart"/>
            <w:tcBorders>
              <w:top w:val="single" w:sz="4" w:space="0" w:color="auto"/>
              <w:left w:val="nil"/>
              <w:bottom w:val="single" w:sz="4" w:space="0" w:color="auto"/>
              <w:right w:val="single" w:sz="4" w:space="0" w:color="auto"/>
            </w:tcBorders>
            <w:shd w:val="clear" w:color="auto" w:fill="DEEAF6"/>
            <w:noWrap/>
            <w:vAlign w:val="center"/>
            <w:hideMark/>
          </w:tcPr>
          <w:p w14:paraId="11B1436F"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Cs/>
                <w:sz w:val="20"/>
                <w:szCs w:val="20"/>
                <w:lang w:eastAsia="hr-HR"/>
              </w:rPr>
            </w:pPr>
            <w:r w:rsidRPr="005C362A">
              <w:rPr>
                <w:rFonts w:ascii="Times New Roman" w:eastAsia="Times New Roman" w:hAnsi="Times New Roman" w:cs="Times New Roman"/>
                <w:bCs/>
                <w:sz w:val="20"/>
                <w:szCs w:val="20"/>
                <w:lang w:eastAsia="hr-HR"/>
              </w:rPr>
              <w:t>Postotak zaposlenih</w:t>
            </w:r>
          </w:p>
        </w:tc>
        <w:tc>
          <w:tcPr>
            <w:tcW w:w="2841" w:type="dxa"/>
            <w:gridSpan w:val="2"/>
            <w:tcBorders>
              <w:top w:val="single" w:sz="4" w:space="0" w:color="auto"/>
              <w:left w:val="nil"/>
              <w:bottom w:val="single" w:sz="4" w:space="0" w:color="auto"/>
              <w:right w:val="single" w:sz="4" w:space="0" w:color="auto"/>
            </w:tcBorders>
            <w:shd w:val="clear" w:color="auto" w:fill="DEEAF6"/>
            <w:vAlign w:val="center"/>
          </w:tcPr>
          <w:p w14:paraId="5874BB43"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Cs/>
                <w:sz w:val="20"/>
                <w:szCs w:val="20"/>
                <w:lang w:eastAsia="hr-HR"/>
              </w:rPr>
            </w:pPr>
            <w:r w:rsidRPr="005C362A">
              <w:rPr>
                <w:rFonts w:ascii="Times New Roman" w:eastAsia="Times New Roman" w:hAnsi="Times New Roman" w:cs="Times New Roman"/>
                <w:bCs/>
                <w:sz w:val="20"/>
                <w:szCs w:val="20"/>
                <w:lang w:eastAsia="hr-HR"/>
              </w:rPr>
              <w:t>Stručna sprema zaposlenih</w:t>
            </w:r>
          </w:p>
        </w:tc>
      </w:tr>
      <w:tr w:rsidR="008914BE" w:rsidRPr="005C362A" w14:paraId="4DE08DE1" w14:textId="77777777" w:rsidTr="008914BE">
        <w:trPr>
          <w:trHeight w:val="370"/>
          <w:jc w:val="center"/>
        </w:trPr>
        <w:tc>
          <w:tcPr>
            <w:tcW w:w="846" w:type="dxa"/>
            <w:vMerge/>
            <w:tcBorders>
              <w:top w:val="single" w:sz="4" w:space="0" w:color="auto"/>
              <w:left w:val="single" w:sz="4" w:space="0" w:color="auto"/>
              <w:bottom w:val="single" w:sz="4" w:space="0" w:color="auto"/>
              <w:right w:val="single" w:sz="4" w:space="0" w:color="auto"/>
            </w:tcBorders>
            <w:shd w:val="clear" w:color="auto" w:fill="DEEAF6"/>
            <w:noWrap/>
            <w:vAlign w:val="center"/>
          </w:tcPr>
          <w:p w14:paraId="7E0C67BA"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Cs/>
                <w:sz w:val="20"/>
                <w:szCs w:val="20"/>
                <w:lang w:eastAsia="hr-HR"/>
              </w:rPr>
            </w:pPr>
          </w:p>
        </w:tc>
        <w:tc>
          <w:tcPr>
            <w:tcW w:w="1706" w:type="dxa"/>
            <w:vMerge/>
            <w:tcBorders>
              <w:top w:val="single" w:sz="4" w:space="0" w:color="auto"/>
              <w:left w:val="single" w:sz="4" w:space="0" w:color="auto"/>
              <w:bottom w:val="single" w:sz="4" w:space="0" w:color="auto"/>
              <w:right w:val="single" w:sz="4" w:space="0" w:color="auto"/>
            </w:tcBorders>
            <w:shd w:val="clear" w:color="auto" w:fill="DEEAF6"/>
            <w:vAlign w:val="center"/>
          </w:tcPr>
          <w:p w14:paraId="3CF43ABD"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Cs/>
                <w:sz w:val="20"/>
                <w:szCs w:val="20"/>
                <w:lang w:eastAsia="hr-HR"/>
              </w:rPr>
            </w:pPr>
          </w:p>
        </w:tc>
        <w:tc>
          <w:tcPr>
            <w:tcW w:w="987" w:type="dxa"/>
            <w:vMerge/>
            <w:tcBorders>
              <w:top w:val="single" w:sz="4" w:space="0" w:color="auto"/>
              <w:left w:val="single" w:sz="4" w:space="0" w:color="auto"/>
              <w:bottom w:val="single" w:sz="4" w:space="0" w:color="auto"/>
              <w:right w:val="single" w:sz="4" w:space="0" w:color="auto"/>
            </w:tcBorders>
            <w:shd w:val="clear" w:color="auto" w:fill="DEEAF6"/>
            <w:vAlign w:val="center"/>
          </w:tcPr>
          <w:p w14:paraId="007E3B5B"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Cs/>
                <w:sz w:val="20"/>
                <w:szCs w:val="20"/>
                <w:lang w:eastAsia="hr-HR"/>
              </w:rPr>
            </w:pPr>
          </w:p>
        </w:tc>
        <w:tc>
          <w:tcPr>
            <w:tcW w:w="992" w:type="dxa"/>
            <w:vMerge/>
            <w:tcBorders>
              <w:top w:val="single" w:sz="4" w:space="0" w:color="auto"/>
              <w:left w:val="single" w:sz="4" w:space="0" w:color="auto"/>
              <w:bottom w:val="single" w:sz="4" w:space="0" w:color="auto"/>
              <w:right w:val="single" w:sz="4" w:space="0" w:color="auto"/>
            </w:tcBorders>
            <w:shd w:val="clear" w:color="auto" w:fill="DEEAF6"/>
            <w:noWrap/>
            <w:vAlign w:val="center"/>
          </w:tcPr>
          <w:p w14:paraId="05B7CB9B"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Cs/>
                <w:sz w:val="20"/>
                <w:szCs w:val="20"/>
                <w:lang w:eastAsia="hr-HR"/>
              </w:rPr>
            </w:pPr>
          </w:p>
        </w:tc>
        <w:tc>
          <w:tcPr>
            <w:tcW w:w="1560" w:type="dxa"/>
            <w:tcBorders>
              <w:top w:val="single" w:sz="4" w:space="0" w:color="auto"/>
              <w:left w:val="single" w:sz="4" w:space="0" w:color="auto"/>
              <w:bottom w:val="single" w:sz="4" w:space="0" w:color="auto"/>
              <w:right w:val="single" w:sz="4" w:space="0" w:color="auto"/>
            </w:tcBorders>
            <w:shd w:val="clear" w:color="auto" w:fill="DEEAF6"/>
            <w:vAlign w:val="center"/>
          </w:tcPr>
          <w:p w14:paraId="770ABFF7"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Cs/>
                <w:sz w:val="20"/>
                <w:szCs w:val="20"/>
                <w:lang w:eastAsia="hr-HR"/>
              </w:rPr>
            </w:pPr>
            <w:r w:rsidRPr="005C362A">
              <w:rPr>
                <w:rFonts w:ascii="Times New Roman" w:eastAsia="Calibri" w:hAnsi="Times New Roman" w:cs="Times New Roman"/>
                <w:sz w:val="20"/>
                <w:szCs w:val="20"/>
              </w:rPr>
              <w:t>Visoka stručna sprema</w:t>
            </w:r>
          </w:p>
        </w:tc>
        <w:tc>
          <w:tcPr>
            <w:tcW w:w="1281" w:type="dxa"/>
            <w:tcBorders>
              <w:top w:val="single" w:sz="4" w:space="0" w:color="auto"/>
              <w:left w:val="single" w:sz="4" w:space="0" w:color="auto"/>
              <w:bottom w:val="single" w:sz="4" w:space="0" w:color="auto"/>
              <w:right w:val="single" w:sz="4" w:space="0" w:color="auto"/>
            </w:tcBorders>
            <w:shd w:val="clear" w:color="auto" w:fill="DEEAF6"/>
            <w:vAlign w:val="center"/>
          </w:tcPr>
          <w:p w14:paraId="72735714"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Cs/>
                <w:sz w:val="20"/>
                <w:szCs w:val="20"/>
                <w:lang w:eastAsia="hr-HR"/>
              </w:rPr>
            </w:pPr>
            <w:r w:rsidRPr="005C362A">
              <w:rPr>
                <w:rFonts w:ascii="Times New Roman" w:eastAsia="Calibri" w:hAnsi="Times New Roman" w:cs="Times New Roman"/>
                <w:sz w:val="20"/>
                <w:szCs w:val="20"/>
              </w:rPr>
              <w:t>Srednja stručna sprema</w:t>
            </w:r>
          </w:p>
        </w:tc>
      </w:tr>
      <w:tr w:rsidR="008914BE" w:rsidRPr="005C362A" w14:paraId="39D32653" w14:textId="77777777" w:rsidTr="008914BE">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AAFD511"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Cs/>
                <w:sz w:val="20"/>
                <w:szCs w:val="20"/>
                <w:lang w:eastAsia="hr-HR"/>
              </w:rPr>
            </w:pPr>
            <w:r w:rsidRPr="005C362A">
              <w:rPr>
                <w:rFonts w:ascii="Times New Roman" w:eastAsia="Times New Roman" w:hAnsi="Times New Roman" w:cs="Times New Roman"/>
                <w:bCs/>
                <w:sz w:val="20"/>
                <w:szCs w:val="20"/>
                <w:lang w:eastAsia="hr-HR"/>
              </w:rPr>
              <w:t>2017.</w:t>
            </w:r>
          </w:p>
        </w:tc>
        <w:tc>
          <w:tcPr>
            <w:tcW w:w="1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DCF56"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
                <w:sz w:val="20"/>
                <w:szCs w:val="20"/>
                <w:lang w:eastAsia="hr-HR"/>
              </w:rPr>
            </w:pPr>
            <w:r w:rsidRPr="005C362A">
              <w:rPr>
                <w:rFonts w:ascii="Times New Roman" w:eastAsia="Times New Roman" w:hAnsi="Times New Roman" w:cs="Times New Roman"/>
                <w:sz w:val="20"/>
                <w:szCs w:val="20"/>
                <w:lang w:eastAsia="hr-HR"/>
              </w:rPr>
              <w:t>37</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7C7C6"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
                <w:sz w:val="20"/>
                <w:szCs w:val="20"/>
                <w:lang w:eastAsia="hr-HR"/>
              </w:rPr>
            </w:pPr>
            <w:r w:rsidRPr="005C362A">
              <w:rPr>
                <w:rFonts w:ascii="Times New Roman" w:eastAsia="Times New Roman" w:hAnsi="Times New Roman" w:cs="Times New Roman"/>
                <w:sz w:val="20"/>
                <w:szCs w:val="20"/>
                <w:lang w:eastAsia="hr-HR"/>
              </w:rPr>
              <w:t>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7ACE2"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
                <w:sz w:val="20"/>
                <w:szCs w:val="20"/>
                <w:lang w:eastAsia="hr-HR"/>
              </w:rPr>
            </w:pPr>
            <w:r w:rsidRPr="005C362A">
              <w:rPr>
                <w:rFonts w:ascii="Times New Roman" w:eastAsia="Times New Roman" w:hAnsi="Times New Roman" w:cs="Times New Roman"/>
                <w:sz w:val="20"/>
                <w:szCs w:val="20"/>
                <w:lang w:eastAsia="hr-HR"/>
              </w:rPr>
              <w:t>56,76%</w:t>
            </w:r>
          </w:p>
        </w:tc>
        <w:tc>
          <w:tcPr>
            <w:tcW w:w="1560" w:type="dxa"/>
            <w:tcBorders>
              <w:top w:val="single" w:sz="4" w:space="0" w:color="auto"/>
              <w:left w:val="single" w:sz="4" w:space="0" w:color="auto"/>
              <w:bottom w:val="single" w:sz="4" w:space="0" w:color="auto"/>
              <w:right w:val="single" w:sz="4" w:space="0" w:color="auto"/>
            </w:tcBorders>
            <w:vAlign w:val="center"/>
          </w:tcPr>
          <w:p w14:paraId="60D0052F"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sz w:val="20"/>
                <w:szCs w:val="20"/>
                <w:lang w:eastAsia="hr-HR"/>
              </w:rPr>
            </w:pPr>
            <w:r w:rsidRPr="005C362A">
              <w:rPr>
                <w:rFonts w:ascii="Times New Roman" w:eastAsia="Times New Roman" w:hAnsi="Times New Roman" w:cs="Times New Roman"/>
                <w:sz w:val="20"/>
                <w:szCs w:val="20"/>
                <w:lang w:eastAsia="hr-HR"/>
              </w:rPr>
              <w:t>17</w:t>
            </w:r>
          </w:p>
        </w:tc>
        <w:tc>
          <w:tcPr>
            <w:tcW w:w="1281" w:type="dxa"/>
            <w:tcBorders>
              <w:top w:val="single" w:sz="4" w:space="0" w:color="auto"/>
              <w:left w:val="single" w:sz="4" w:space="0" w:color="auto"/>
              <w:bottom w:val="single" w:sz="4" w:space="0" w:color="auto"/>
              <w:right w:val="single" w:sz="4" w:space="0" w:color="auto"/>
            </w:tcBorders>
            <w:vAlign w:val="center"/>
          </w:tcPr>
          <w:p w14:paraId="2763C6EC"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sz w:val="20"/>
                <w:szCs w:val="20"/>
                <w:lang w:eastAsia="hr-HR"/>
              </w:rPr>
            </w:pPr>
            <w:r w:rsidRPr="005C362A">
              <w:rPr>
                <w:rFonts w:ascii="Times New Roman" w:eastAsia="Times New Roman" w:hAnsi="Times New Roman" w:cs="Times New Roman"/>
                <w:sz w:val="20"/>
                <w:szCs w:val="20"/>
                <w:lang w:eastAsia="hr-HR"/>
              </w:rPr>
              <w:t>4</w:t>
            </w:r>
          </w:p>
        </w:tc>
      </w:tr>
      <w:tr w:rsidR="008914BE" w:rsidRPr="005C362A" w14:paraId="0A983811" w14:textId="77777777" w:rsidTr="008914BE">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47208C7"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Cs/>
                <w:sz w:val="20"/>
                <w:szCs w:val="20"/>
                <w:lang w:eastAsia="hr-HR"/>
              </w:rPr>
            </w:pPr>
            <w:r w:rsidRPr="005C362A">
              <w:rPr>
                <w:rFonts w:ascii="Times New Roman" w:eastAsia="Times New Roman" w:hAnsi="Times New Roman" w:cs="Times New Roman"/>
                <w:bCs/>
                <w:sz w:val="20"/>
                <w:szCs w:val="20"/>
                <w:lang w:eastAsia="hr-HR"/>
              </w:rPr>
              <w:t>2018.</w:t>
            </w:r>
          </w:p>
        </w:tc>
        <w:tc>
          <w:tcPr>
            <w:tcW w:w="1706" w:type="dxa"/>
            <w:tcBorders>
              <w:top w:val="single" w:sz="4" w:space="0" w:color="auto"/>
              <w:left w:val="nil"/>
              <w:bottom w:val="single" w:sz="4" w:space="0" w:color="auto"/>
              <w:right w:val="single" w:sz="4" w:space="0" w:color="auto"/>
            </w:tcBorders>
            <w:shd w:val="clear" w:color="auto" w:fill="auto"/>
            <w:noWrap/>
            <w:vAlign w:val="center"/>
            <w:hideMark/>
          </w:tcPr>
          <w:p w14:paraId="55C7B733"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
                <w:sz w:val="20"/>
                <w:szCs w:val="20"/>
                <w:lang w:eastAsia="hr-HR"/>
              </w:rPr>
            </w:pPr>
            <w:r w:rsidRPr="005C362A">
              <w:rPr>
                <w:rFonts w:ascii="Times New Roman" w:eastAsia="Times New Roman" w:hAnsi="Times New Roman" w:cs="Times New Roman"/>
                <w:sz w:val="20"/>
                <w:szCs w:val="20"/>
                <w:lang w:eastAsia="hr-HR"/>
              </w:rPr>
              <w:t>38</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69CBF192"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
                <w:sz w:val="20"/>
                <w:szCs w:val="20"/>
                <w:lang w:eastAsia="hr-HR"/>
              </w:rPr>
            </w:pPr>
            <w:r w:rsidRPr="005C362A">
              <w:rPr>
                <w:rFonts w:ascii="Times New Roman" w:eastAsia="Times New Roman" w:hAnsi="Times New Roman" w:cs="Times New Roman"/>
                <w:sz w:val="20"/>
                <w:szCs w:val="20"/>
                <w:lang w:eastAsia="hr-HR"/>
              </w:rPr>
              <w:t>21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FFF6A45"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
                <w:sz w:val="20"/>
                <w:szCs w:val="20"/>
                <w:lang w:eastAsia="hr-HR"/>
              </w:rPr>
            </w:pPr>
            <w:r w:rsidRPr="005C362A">
              <w:rPr>
                <w:rFonts w:ascii="Times New Roman" w:eastAsia="Times New Roman" w:hAnsi="Times New Roman" w:cs="Times New Roman"/>
                <w:sz w:val="20"/>
                <w:szCs w:val="20"/>
                <w:lang w:eastAsia="hr-HR"/>
              </w:rPr>
              <w:t>55,26%</w:t>
            </w:r>
          </w:p>
        </w:tc>
        <w:tc>
          <w:tcPr>
            <w:tcW w:w="1560" w:type="dxa"/>
            <w:tcBorders>
              <w:top w:val="single" w:sz="4" w:space="0" w:color="auto"/>
              <w:left w:val="nil"/>
              <w:bottom w:val="single" w:sz="4" w:space="0" w:color="auto"/>
              <w:right w:val="single" w:sz="4" w:space="0" w:color="auto"/>
            </w:tcBorders>
            <w:vAlign w:val="center"/>
          </w:tcPr>
          <w:p w14:paraId="149CB90D"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sz w:val="20"/>
                <w:szCs w:val="20"/>
                <w:lang w:eastAsia="hr-HR"/>
              </w:rPr>
            </w:pPr>
            <w:r w:rsidRPr="005C362A">
              <w:rPr>
                <w:rFonts w:ascii="Times New Roman" w:eastAsia="Times New Roman" w:hAnsi="Times New Roman" w:cs="Times New Roman"/>
                <w:sz w:val="20"/>
                <w:szCs w:val="20"/>
                <w:lang w:eastAsia="hr-HR"/>
              </w:rPr>
              <w:t>17</w:t>
            </w:r>
          </w:p>
        </w:tc>
        <w:tc>
          <w:tcPr>
            <w:tcW w:w="1281" w:type="dxa"/>
            <w:tcBorders>
              <w:top w:val="single" w:sz="4" w:space="0" w:color="auto"/>
              <w:left w:val="single" w:sz="4" w:space="0" w:color="auto"/>
              <w:bottom w:val="single" w:sz="4" w:space="0" w:color="auto"/>
              <w:right w:val="single" w:sz="4" w:space="0" w:color="auto"/>
            </w:tcBorders>
            <w:vAlign w:val="center"/>
          </w:tcPr>
          <w:p w14:paraId="5B73F559"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sz w:val="20"/>
                <w:szCs w:val="20"/>
                <w:lang w:eastAsia="hr-HR"/>
              </w:rPr>
            </w:pPr>
            <w:r w:rsidRPr="005C362A">
              <w:rPr>
                <w:rFonts w:ascii="Times New Roman" w:eastAsia="Times New Roman" w:hAnsi="Times New Roman" w:cs="Times New Roman"/>
                <w:sz w:val="20"/>
                <w:szCs w:val="20"/>
                <w:lang w:eastAsia="hr-HR"/>
              </w:rPr>
              <w:t>4</w:t>
            </w:r>
          </w:p>
        </w:tc>
      </w:tr>
      <w:tr w:rsidR="008914BE" w:rsidRPr="005C362A" w14:paraId="4B3AEEF1" w14:textId="77777777" w:rsidTr="008914BE">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CABAAC3"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Cs/>
                <w:sz w:val="20"/>
                <w:szCs w:val="20"/>
                <w:lang w:eastAsia="hr-HR"/>
              </w:rPr>
            </w:pPr>
            <w:r w:rsidRPr="005C362A">
              <w:rPr>
                <w:rFonts w:ascii="Times New Roman" w:eastAsia="Times New Roman" w:hAnsi="Times New Roman" w:cs="Times New Roman"/>
                <w:bCs/>
                <w:sz w:val="20"/>
                <w:szCs w:val="20"/>
                <w:lang w:eastAsia="hr-HR"/>
              </w:rPr>
              <w:t>2019.</w:t>
            </w:r>
          </w:p>
        </w:tc>
        <w:tc>
          <w:tcPr>
            <w:tcW w:w="1706" w:type="dxa"/>
            <w:tcBorders>
              <w:top w:val="single" w:sz="4" w:space="0" w:color="auto"/>
              <w:left w:val="nil"/>
              <w:bottom w:val="single" w:sz="4" w:space="0" w:color="auto"/>
              <w:right w:val="single" w:sz="4" w:space="0" w:color="auto"/>
            </w:tcBorders>
            <w:shd w:val="clear" w:color="auto" w:fill="auto"/>
            <w:noWrap/>
            <w:vAlign w:val="center"/>
            <w:hideMark/>
          </w:tcPr>
          <w:p w14:paraId="30C2B25D"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
                <w:sz w:val="20"/>
                <w:szCs w:val="20"/>
                <w:lang w:eastAsia="hr-HR"/>
              </w:rPr>
            </w:pPr>
            <w:r w:rsidRPr="005C362A">
              <w:rPr>
                <w:rFonts w:ascii="Times New Roman" w:eastAsia="Times New Roman" w:hAnsi="Times New Roman" w:cs="Times New Roman"/>
                <w:sz w:val="20"/>
                <w:szCs w:val="20"/>
                <w:lang w:eastAsia="hr-HR"/>
              </w:rPr>
              <w:t>38</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3841641D"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
                <w:sz w:val="20"/>
                <w:szCs w:val="20"/>
                <w:lang w:eastAsia="hr-HR"/>
              </w:rPr>
            </w:pPr>
            <w:r w:rsidRPr="005C362A">
              <w:rPr>
                <w:rFonts w:ascii="Times New Roman" w:eastAsia="Times New Roman" w:hAnsi="Times New Roman" w:cs="Times New Roman"/>
                <w:sz w:val="20"/>
                <w:szCs w:val="20"/>
                <w:lang w:eastAsia="hr-HR"/>
              </w:rPr>
              <w:t>19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FAA8D91"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
                <w:sz w:val="20"/>
                <w:szCs w:val="20"/>
                <w:lang w:eastAsia="hr-HR"/>
              </w:rPr>
            </w:pPr>
            <w:r w:rsidRPr="005C362A">
              <w:rPr>
                <w:rFonts w:ascii="Times New Roman" w:eastAsia="Times New Roman" w:hAnsi="Times New Roman" w:cs="Times New Roman"/>
                <w:sz w:val="20"/>
                <w:szCs w:val="20"/>
                <w:lang w:eastAsia="hr-HR"/>
              </w:rPr>
              <w:t>50,00%</w:t>
            </w:r>
          </w:p>
        </w:tc>
        <w:tc>
          <w:tcPr>
            <w:tcW w:w="1560" w:type="dxa"/>
            <w:tcBorders>
              <w:top w:val="single" w:sz="4" w:space="0" w:color="auto"/>
              <w:left w:val="nil"/>
              <w:bottom w:val="single" w:sz="4" w:space="0" w:color="auto"/>
              <w:right w:val="single" w:sz="4" w:space="0" w:color="auto"/>
            </w:tcBorders>
            <w:vAlign w:val="center"/>
          </w:tcPr>
          <w:p w14:paraId="0D05D623"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sz w:val="20"/>
                <w:szCs w:val="20"/>
                <w:lang w:eastAsia="hr-HR"/>
              </w:rPr>
            </w:pPr>
            <w:r w:rsidRPr="005C362A">
              <w:rPr>
                <w:rFonts w:ascii="Times New Roman" w:eastAsia="Times New Roman" w:hAnsi="Times New Roman" w:cs="Times New Roman"/>
                <w:sz w:val="20"/>
                <w:szCs w:val="20"/>
                <w:lang w:eastAsia="hr-HR"/>
              </w:rPr>
              <w:t>16</w:t>
            </w:r>
          </w:p>
        </w:tc>
        <w:tc>
          <w:tcPr>
            <w:tcW w:w="1281" w:type="dxa"/>
            <w:tcBorders>
              <w:top w:val="single" w:sz="4" w:space="0" w:color="auto"/>
              <w:left w:val="single" w:sz="4" w:space="0" w:color="auto"/>
              <w:bottom w:val="single" w:sz="4" w:space="0" w:color="auto"/>
              <w:right w:val="single" w:sz="4" w:space="0" w:color="auto"/>
            </w:tcBorders>
            <w:vAlign w:val="center"/>
          </w:tcPr>
          <w:p w14:paraId="33F4A3C1"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sz w:val="20"/>
                <w:szCs w:val="20"/>
                <w:lang w:eastAsia="hr-HR"/>
              </w:rPr>
            </w:pPr>
            <w:r w:rsidRPr="005C362A">
              <w:rPr>
                <w:rFonts w:ascii="Times New Roman" w:eastAsia="Times New Roman" w:hAnsi="Times New Roman" w:cs="Times New Roman"/>
                <w:sz w:val="20"/>
                <w:szCs w:val="20"/>
                <w:lang w:eastAsia="hr-HR"/>
              </w:rPr>
              <w:t>3</w:t>
            </w:r>
          </w:p>
        </w:tc>
      </w:tr>
      <w:tr w:rsidR="008914BE" w:rsidRPr="005C362A" w14:paraId="7362E8CC" w14:textId="77777777" w:rsidTr="008914BE">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2EED667F"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Cs/>
                <w:sz w:val="20"/>
                <w:szCs w:val="20"/>
                <w:lang w:eastAsia="hr-HR"/>
              </w:rPr>
            </w:pPr>
            <w:r w:rsidRPr="005C362A">
              <w:rPr>
                <w:rFonts w:ascii="Times New Roman" w:eastAsia="Times New Roman" w:hAnsi="Times New Roman" w:cs="Times New Roman"/>
                <w:bCs/>
                <w:sz w:val="20"/>
                <w:szCs w:val="20"/>
                <w:lang w:eastAsia="hr-HR"/>
              </w:rPr>
              <w:t>2020.</w:t>
            </w:r>
          </w:p>
        </w:tc>
        <w:tc>
          <w:tcPr>
            <w:tcW w:w="1706" w:type="dxa"/>
            <w:tcBorders>
              <w:top w:val="single" w:sz="4" w:space="0" w:color="auto"/>
              <w:left w:val="nil"/>
              <w:bottom w:val="single" w:sz="4" w:space="0" w:color="auto"/>
              <w:right w:val="single" w:sz="4" w:space="0" w:color="auto"/>
            </w:tcBorders>
            <w:shd w:val="clear" w:color="auto" w:fill="auto"/>
            <w:noWrap/>
            <w:vAlign w:val="center"/>
          </w:tcPr>
          <w:p w14:paraId="6481F2E5"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sz w:val="20"/>
                <w:szCs w:val="20"/>
                <w:lang w:eastAsia="hr-HR"/>
              </w:rPr>
            </w:pPr>
            <w:r w:rsidRPr="005C362A">
              <w:rPr>
                <w:rFonts w:ascii="Times New Roman" w:eastAsia="Times New Roman" w:hAnsi="Times New Roman" w:cs="Times New Roman"/>
                <w:sz w:val="20"/>
                <w:szCs w:val="20"/>
                <w:lang w:eastAsia="hr-HR"/>
              </w:rPr>
              <w:t>37</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68503672"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sz w:val="20"/>
                <w:szCs w:val="20"/>
                <w:lang w:eastAsia="hr-HR"/>
              </w:rPr>
            </w:pPr>
            <w:r w:rsidRPr="005C362A">
              <w:rPr>
                <w:rFonts w:ascii="Times New Roman" w:eastAsia="Times New Roman" w:hAnsi="Times New Roman" w:cs="Times New Roman"/>
                <w:sz w:val="20"/>
                <w:szCs w:val="20"/>
                <w:lang w:eastAsia="hr-HR"/>
              </w:rPr>
              <w:t>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845ABE6"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sz w:val="20"/>
                <w:szCs w:val="20"/>
                <w:lang w:eastAsia="hr-HR"/>
              </w:rPr>
            </w:pPr>
            <w:r w:rsidRPr="005C362A">
              <w:rPr>
                <w:rFonts w:ascii="Times New Roman" w:eastAsia="Times New Roman" w:hAnsi="Times New Roman" w:cs="Times New Roman"/>
                <w:sz w:val="20"/>
                <w:szCs w:val="20"/>
                <w:lang w:eastAsia="hr-HR"/>
              </w:rPr>
              <w:t>54,05%</w:t>
            </w:r>
          </w:p>
        </w:tc>
        <w:tc>
          <w:tcPr>
            <w:tcW w:w="1560" w:type="dxa"/>
            <w:tcBorders>
              <w:top w:val="single" w:sz="4" w:space="0" w:color="auto"/>
              <w:left w:val="nil"/>
              <w:bottom w:val="single" w:sz="4" w:space="0" w:color="auto"/>
              <w:right w:val="single" w:sz="4" w:space="0" w:color="auto"/>
            </w:tcBorders>
            <w:vAlign w:val="center"/>
          </w:tcPr>
          <w:p w14:paraId="53E07364"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sz w:val="20"/>
                <w:szCs w:val="20"/>
                <w:lang w:eastAsia="hr-HR"/>
              </w:rPr>
            </w:pPr>
            <w:r w:rsidRPr="005C362A">
              <w:rPr>
                <w:rFonts w:ascii="Times New Roman" w:eastAsia="Times New Roman" w:hAnsi="Times New Roman" w:cs="Times New Roman"/>
                <w:sz w:val="20"/>
                <w:szCs w:val="20"/>
                <w:lang w:eastAsia="hr-HR"/>
              </w:rPr>
              <w:t>17</w:t>
            </w:r>
          </w:p>
        </w:tc>
        <w:tc>
          <w:tcPr>
            <w:tcW w:w="1281" w:type="dxa"/>
            <w:tcBorders>
              <w:top w:val="single" w:sz="4" w:space="0" w:color="auto"/>
              <w:left w:val="single" w:sz="4" w:space="0" w:color="auto"/>
              <w:bottom w:val="single" w:sz="4" w:space="0" w:color="auto"/>
              <w:right w:val="single" w:sz="4" w:space="0" w:color="auto"/>
            </w:tcBorders>
            <w:vAlign w:val="center"/>
          </w:tcPr>
          <w:p w14:paraId="64B79F30"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sz w:val="20"/>
                <w:szCs w:val="20"/>
                <w:lang w:eastAsia="hr-HR"/>
              </w:rPr>
            </w:pPr>
            <w:r w:rsidRPr="005C362A">
              <w:rPr>
                <w:rFonts w:ascii="Times New Roman" w:eastAsia="Times New Roman" w:hAnsi="Times New Roman" w:cs="Times New Roman"/>
                <w:sz w:val="20"/>
                <w:szCs w:val="20"/>
                <w:lang w:eastAsia="hr-HR"/>
              </w:rPr>
              <w:t>3</w:t>
            </w:r>
          </w:p>
        </w:tc>
      </w:tr>
      <w:tr w:rsidR="008914BE" w:rsidRPr="005C362A" w14:paraId="1CE02103" w14:textId="77777777" w:rsidTr="008914BE">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3489DDAF"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Cs/>
                <w:sz w:val="20"/>
                <w:szCs w:val="20"/>
                <w:lang w:eastAsia="hr-HR"/>
              </w:rPr>
            </w:pPr>
            <w:r w:rsidRPr="005C362A">
              <w:rPr>
                <w:rFonts w:ascii="Times New Roman" w:eastAsia="Times New Roman" w:hAnsi="Times New Roman" w:cs="Times New Roman"/>
                <w:bCs/>
                <w:sz w:val="20"/>
                <w:szCs w:val="20"/>
                <w:lang w:eastAsia="hr-HR"/>
              </w:rPr>
              <w:t>2021.</w:t>
            </w:r>
          </w:p>
        </w:tc>
        <w:tc>
          <w:tcPr>
            <w:tcW w:w="1706" w:type="dxa"/>
            <w:tcBorders>
              <w:top w:val="single" w:sz="4" w:space="0" w:color="auto"/>
              <w:left w:val="nil"/>
              <w:bottom w:val="single" w:sz="4" w:space="0" w:color="auto"/>
              <w:right w:val="single" w:sz="4" w:space="0" w:color="auto"/>
            </w:tcBorders>
            <w:shd w:val="clear" w:color="auto" w:fill="auto"/>
            <w:noWrap/>
            <w:vAlign w:val="center"/>
          </w:tcPr>
          <w:p w14:paraId="280A5AEB"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sz w:val="20"/>
                <w:szCs w:val="20"/>
                <w:lang w:eastAsia="hr-HR"/>
              </w:rPr>
            </w:pPr>
            <w:r w:rsidRPr="005C362A">
              <w:rPr>
                <w:rFonts w:ascii="Times New Roman" w:eastAsia="Times New Roman" w:hAnsi="Times New Roman" w:cs="Times New Roman"/>
                <w:sz w:val="20"/>
                <w:szCs w:val="20"/>
                <w:lang w:eastAsia="hr-HR"/>
              </w:rPr>
              <w:t>37</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304EA2C4"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sz w:val="20"/>
                <w:szCs w:val="20"/>
                <w:lang w:eastAsia="hr-HR"/>
              </w:rPr>
            </w:pPr>
            <w:r w:rsidRPr="005C362A">
              <w:rPr>
                <w:rFonts w:ascii="Times New Roman" w:eastAsia="Times New Roman" w:hAnsi="Times New Roman" w:cs="Times New Roman"/>
                <w:sz w:val="20"/>
                <w:szCs w:val="20"/>
                <w:lang w:eastAsia="hr-HR"/>
              </w:rPr>
              <w:t>21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3C71849"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sz w:val="20"/>
                <w:szCs w:val="20"/>
                <w:lang w:eastAsia="hr-HR"/>
              </w:rPr>
            </w:pPr>
            <w:r w:rsidRPr="005C362A">
              <w:rPr>
                <w:rFonts w:ascii="Times New Roman" w:eastAsia="Times New Roman" w:hAnsi="Times New Roman" w:cs="Times New Roman"/>
                <w:sz w:val="20"/>
                <w:szCs w:val="20"/>
                <w:lang w:eastAsia="hr-HR"/>
              </w:rPr>
              <w:t>56,76%</w:t>
            </w:r>
          </w:p>
        </w:tc>
        <w:tc>
          <w:tcPr>
            <w:tcW w:w="1560" w:type="dxa"/>
            <w:tcBorders>
              <w:top w:val="single" w:sz="4" w:space="0" w:color="auto"/>
              <w:left w:val="nil"/>
              <w:bottom w:val="single" w:sz="4" w:space="0" w:color="auto"/>
              <w:right w:val="single" w:sz="4" w:space="0" w:color="auto"/>
            </w:tcBorders>
            <w:vAlign w:val="center"/>
          </w:tcPr>
          <w:p w14:paraId="17FB959E"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sz w:val="20"/>
                <w:szCs w:val="20"/>
                <w:lang w:eastAsia="hr-HR"/>
              </w:rPr>
            </w:pPr>
            <w:r w:rsidRPr="005C362A">
              <w:rPr>
                <w:rFonts w:ascii="Times New Roman" w:eastAsia="Times New Roman" w:hAnsi="Times New Roman" w:cs="Times New Roman"/>
                <w:sz w:val="20"/>
                <w:szCs w:val="20"/>
                <w:lang w:eastAsia="hr-HR"/>
              </w:rPr>
              <w:t>18</w:t>
            </w:r>
          </w:p>
        </w:tc>
        <w:tc>
          <w:tcPr>
            <w:tcW w:w="1281" w:type="dxa"/>
            <w:tcBorders>
              <w:top w:val="single" w:sz="4" w:space="0" w:color="auto"/>
              <w:left w:val="single" w:sz="4" w:space="0" w:color="auto"/>
              <w:bottom w:val="single" w:sz="4" w:space="0" w:color="auto"/>
              <w:right w:val="single" w:sz="4" w:space="0" w:color="auto"/>
            </w:tcBorders>
            <w:vAlign w:val="center"/>
          </w:tcPr>
          <w:p w14:paraId="29A793DC"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sz w:val="20"/>
                <w:szCs w:val="20"/>
                <w:lang w:eastAsia="hr-HR"/>
              </w:rPr>
            </w:pPr>
            <w:r w:rsidRPr="005C362A">
              <w:rPr>
                <w:rFonts w:ascii="Times New Roman" w:eastAsia="Times New Roman" w:hAnsi="Times New Roman" w:cs="Times New Roman"/>
                <w:sz w:val="20"/>
                <w:szCs w:val="20"/>
                <w:lang w:eastAsia="hr-HR"/>
              </w:rPr>
              <w:t>3</w:t>
            </w:r>
          </w:p>
        </w:tc>
      </w:tr>
      <w:tr w:rsidR="008914BE" w:rsidRPr="005C362A" w14:paraId="13F2C1A7" w14:textId="77777777" w:rsidTr="008914BE">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D5F2B82"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bCs/>
                <w:sz w:val="20"/>
                <w:szCs w:val="20"/>
                <w:lang w:eastAsia="hr-HR"/>
              </w:rPr>
            </w:pPr>
            <w:r w:rsidRPr="005C362A">
              <w:rPr>
                <w:rFonts w:ascii="Times New Roman" w:eastAsia="Times New Roman" w:hAnsi="Times New Roman" w:cs="Times New Roman"/>
                <w:bCs/>
                <w:sz w:val="20"/>
                <w:szCs w:val="20"/>
                <w:lang w:eastAsia="hr-HR"/>
              </w:rPr>
              <w:t>2022.</w:t>
            </w:r>
          </w:p>
        </w:tc>
        <w:tc>
          <w:tcPr>
            <w:tcW w:w="1706" w:type="dxa"/>
            <w:tcBorders>
              <w:top w:val="single" w:sz="4" w:space="0" w:color="auto"/>
              <w:left w:val="nil"/>
              <w:bottom w:val="single" w:sz="4" w:space="0" w:color="auto"/>
              <w:right w:val="single" w:sz="4" w:space="0" w:color="auto"/>
            </w:tcBorders>
            <w:shd w:val="clear" w:color="auto" w:fill="auto"/>
            <w:noWrap/>
            <w:vAlign w:val="center"/>
          </w:tcPr>
          <w:p w14:paraId="2714F5A4"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sz w:val="20"/>
                <w:szCs w:val="20"/>
                <w:lang w:eastAsia="hr-HR"/>
              </w:rPr>
            </w:pPr>
            <w:r w:rsidRPr="005C362A">
              <w:rPr>
                <w:rFonts w:ascii="Times New Roman" w:eastAsia="Times New Roman" w:hAnsi="Times New Roman" w:cs="Times New Roman"/>
                <w:sz w:val="20"/>
                <w:szCs w:val="20"/>
                <w:lang w:eastAsia="hr-HR"/>
              </w:rPr>
              <w:t>37</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6A205F21"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sz w:val="20"/>
                <w:szCs w:val="20"/>
                <w:lang w:eastAsia="hr-HR"/>
              </w:rPr>
            </w:pPr>
            <w:r w:rsidRPr="005C362A">
              <w:rPr>
                <w:rFonts w:ascii="Times New Roman" w:eastAsia="Times New Roman" w:hAnsi="Times New Roman" w:cs="Times New Roman"/>
                <w:sz w:val="20"/>
                <w:szCs w:val="20"/>
                <w:lang w:eastAsia="hr-HR"/>
              </w:rPr>
              <w:t>22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6EE6AEC"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sz w:val="20"/>
                <w:szCs w:val="20"/>
                <w:lang w:eastAsia="hr-HR"/>
              </w:rPr>
            </w:pPr>
            <w:r w:rsidRPr="005C362A">
              <w:rPr>
                <w:rFonts w:ascii="Times New Roman" w:eastAsia="Times New Roman" w:hAnsi="Times New Roman" w:cs="Times New Roman"/>
                <w:sz w:val="20"/>
                <w:szCs w:val="20"/>
                <w:lang w:eastAsia="hr-HR"/>
              </w:rPr>
              <w:t>59,46%</w:t>
            </w:r>
          </w:p>
        </w:tc>
        <w:tc>
          <w:tcPr>
            <w:tcW w:w="1560" w:type="dxa"/>
            <w:tcBorders>
              <w:top w:val="single" w:sz="4" w:space="0" w:color="auto"/>
              <w:left w:val="nil"/>
              <w:bottom w:val="single" w:sz="4" w:space="0" w:color="auto"/>
              <w:right w:val="single" w:sz="4" w:space="0" w:color="auto"/>
            </w:tcBorders>
            <w:vAlign w:val="center"/>
          </w:tcPr>
          <w:p w14:paraId="3388DC31"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sz w:val="20"/>
                <w:szCs w:val="20"/>
                <w:lang w:eastAsia="hr-HR"/>
              </w:rPr>
            </w:pPr>
            <w:r w:rsidRPr="005C362A">
              <w:rPr>
                <w:rFonts w:ascii="Times New Roman" w:eastAsia="Times New Roman" w:hAnsi="Times New Roman" w:cs="Times New Roman"/>
                <w:sz w:val="20"/>
                <w:szCs w:val="20"/>
                <w:lang w:eastAsia="hr-HR"/>
              </w:rPr>
              <w:t>19</w:t>
            </w:r>
          </w:p>
        </w:tc>
        <w:tc>
          <w:tcPr>
            <w:tcW w:w="1281" w:type="dxa"/>
            <w:tcBorders>
              <w:top w:val="single" w:sz="4" w:space="0" w:color="auto"/>
              <w:left w:val="single" w:sz="4" w:space="0" w:color="auto"/>
              <w:bottom w:val="single" w:sz="4" w:space="0" w:color="auto"/>
              <w:right w:val="single" w:sz="4" w:space="0" w:color="auto"/>
            </w:tcBorders>
            <w:vAlign w:val="center"/>
          </w:tcPr>
          <w:p w14:paraId="24741267" w14:textId="77777777" w:rsidR="008914BE" w:rsidRPr="005C362A" w:rsidRDefault="008914BE" w:rsidP="008914BE">
            <w:pPr>
              <w:tabs>
                <w:tab w:val="left" w:pos="850"/>
                <w:tab w:val="left" w:pos="1191"/>
                <w:tab w:val="left" w:pos="1531"/>
              </w:tabs>
              <w:spacing w:after="0" w:line="240" w:lineRule="auto"/>
              <w:jc w:val="center"/>
              <w:rPr>
                <w:rFonts w:ascii="Times New Roman" w:eastAsia="Times New Roman" w:hAnsi="Times New Roman" w:cs="Times New Roman"/>
                <w:sz w:val="20"/>
                <w:szCs w:val="20"/>
                <w:lang w:eastAsia="hr-HR"/>
              </w:rPr>
            </w:pPr>
            <w:r w:rsidRPr="005C362A">
              <w:rPr>
                <w:rFonts w:ascii="Times New Roman" w:eastAsia="Times New Roman" w:hAnsi="Times New Roman" w:cs="Times New Roman"/>
                <w:sz w:val="20"/>
                <w:szCs w:val="20"/>
                <w:lang w:eastAsia="hr-HR"/>
              </w:rPr>
              <w:t>3</w:t>
            </w:r>
          </w:p>
        </w:tc>
      </w:tr>
    </w:tbl>
    <w:p w14:paraId="62FBDB0A" w14:textId="77777777" w:rsidR="008914BE" w:rsidRPr="004665E0" w:rsidRDefault="008914BE" w:rsidP="008914BE">
      <w:pPr>
        <w:tabs>
          <w:tab w:val="left" w:pos="850"/>
          <w:tab w:val="left" w:pos="1191"/>
          <w:tab w:val="left" w:pos="1531"/>
        </w:tabs>
        <w:spacing w:after="0" w:line="240" w:lineRule="auto"/>
        <w:jc w:val="both"/>
        <w:rPr>
          <w:rFonts w:ascii="Times New Roman" w:eastAsia="SimSun" w:hAnsi="Times New Roman" w:cs="Times New Roman"/>
          <w:sz w:val="24"/>
          <w:szCs w:val="24"/>
          <w:lang w:eastAsia="zh-CN"/>
        </w:rPr>
      </w:pPr>
    </w:p>
    <w:p w14:paraId="730EF163" w14:textId="18999054" w:rsidR="008914BE" w:rsidRPr="004665E0" w:rsidRDefault="008914BE" w:rsidP="008914BE">
      <w:pPr>
        <w:spacing w:after="0" w:line="240" w:lineRule="auto"/>
        <w:jc w:val="both"/>
        <w:rPr>
          <w:rFonts w:ascii="Times New Roman" w:eastAsia="Calibri" w:hAnsi="Times New Roman" w:cs="Times New Roman"/>
          <w:sz w:val="24"/>
          <w:szCs w:val="24"/>
        </w:rPr>
      </w:pPr>
      <w:r w:rsidRPr="004665E0">
        <w:rPr>
          <w:rFonts w:ascii="Times New Roman" w:eastAsia="Calibri" w:hAnsi="Times New Roman" w:cs="Times New Roman"/>
          <w:sz w:val="24"/>
          <w:szCs w:val="24"/>
        </w:rPr>
        <w:lastRenderedPageBreak/>
        <w:t>U Uredu je na dan 31. prosinca 202</w:t>
      </w:r>
      <w:r>
        <w:rPr>
          <w:rFonts w:ascii="Times New Roman" w:eastAsia="Calibri" w:hAnsi="Times New Roman" w:cs="Times New Roman"/>
          <w:sz w:val="24"/>
          <w:szCs w:val="24"/>
        </w:rPr>
        <w:t>2</w:t>
      </w:r>
      <w:r w:rsidRPr="004665E0">
        <w:rPr>
          <w:rFonts w:ascii="Times New Roman" w:eastAsia="Calibri" w:hAnsi="Times New Roman" w:cs="Times New Roman"/>
          <w:sz w:val="24"/>
          <w:szCs w:val="24"/>
        </w:rPr>
        <w:t>., zajedno s predstojnikom Ureda bilo zaposleno ukupno 2</w:t>
      </w:r>
      <w:r>
        <w:rPr>
          <w:rFonts w:ascii="Times New Roman" w:eastAsia="Calibri" w:hAnsi="Times New Roman" w:cs="Times New Roman"/>
          <w:sz w:val="24"/>
          <w:szCs w:val="24"/>
        </w:rPr>
        <w:t>2</w:t>
      </w:r>
      <w:r w:rsidR="005C362A">
        <w:rPr>
          <w:rFonts w:ascii="Times New Roman" w:eastAsia="Calibri" w:hAnsi="Times New Roman" w:cs="Times New Roman"/>
          <w:sz w:val="24"/>
          <w:szCs w:val="24"/>
        </w:rPr>
        <w:t xml:space="preserve"> službenika, dok je </w:t>
      </w:r>
      <w:r w:rsidRPr="004665E0">
        <w:rPr>
          <w:rFonts w:ascii="Times New Roman" w:eastAsia="Calibri" w:hAnsi="Times New Roman" w:cs="Times New Roman"/>
          <w:sz w:val="24"/>
          <w:szCs w:val="24"/>
        </w:rPr>
        <w:t>sistematiziran</w:t>
      </w:r>
      <w:r w:rsidR="005C362A">
        <w:rPr>
          <w:rFonts w:ascii="Times New Roman" w:eastAsia="Calibri" w:hAnsi="Times New Roman" w:cs="Times New Roman"/>
          <w:sz w:val="24"/>
          <w:szCs w:val="24"/>
        </w:rPr>
        <w:t>o</w:t>
      </w:r>
      <w:r w:rsidRPr="004665E0">
        <w:rPr>
          <w:rFonts w:ascii="Times New Roman" w:eastAsia="Calibri" w:hAnsi="Times New Roman" w:cs="Times New Roman"/>
          <w:sz w:val="24"/>
          <w:szCs w:val="24"/>
        </w:rPr>
        <w:t xml:space="preserve"> ukupno 37 radnih mjesta. Uzimajući u obzir broj sistematiziranih radnih mjesta (37) i stvarno zaposlenih službenika (2</w:t>
      </w:r>
      <w:r>
        <w:rPr>
          <w:rFonts w:ascii="Times New Roman" w:eastAsia="Calibri" w:hAnsi="Times New Roman" w:cs="Times New Roman"/>
          <w:sz w:val="24"/>
          <w:szCs w:val="24"/>
        </w:rPr>
        <w:t>2</w:t>
      </w:r>
      <w:r w:rsidRPr="004665E0">
        <w:rPr>
          <w:rFonts w:ascii="Times New Roman" w:eastAsia="Calibri" w:hAnsi="Times New Roman" w:cs="Times New Roman"/>
          <w:sz w:val="24"/>
          <w:szCs w:val="24"/>
        </w:rPr>
        <w:t>), proizlazi da je popunjenost radnih mjesta u Uredu na kraju 202</w:t>
      </w:r>
      <w:r>
        <w:rPr>
          <w:rFonts w:ascii="Times New Roman" w:eastAsia="Calibri" w:hAnsi="Times New Roman" w:cs="Times New Roman"/>
          <w:sz w:val="24"/>
          <w:szCs w:val="24"/>
        </w:rPr>
        <w:t>2</w:t>
      </w:r>
      <w:r w:rsidRPr="004665E0">
        <w:rPr>
          <w:rFonts w:ascii="Times New Roman" w:eastAsia="Calibri" w:hAnsi="Times New Roman" w:cs="Times New Roman"/>
          <w:sz w:val="24"/>
          <w:szCs w:val="24"/>
        </w:rPr>
        <w:t>. iznosila 5</w:t>
      </w:r>
      <w:r>
        <w:rPr>
          <w:rFonts w:ascii="Times New Roman" w:eastAsia="Calibri" w:hAnsi="Times New Roman" w:cs="Times New Roman"/>
          <w:sz w:val="24"/>
          <w:szCs w:val="24"/>
        </w:rPr>
        <w:t>9</w:t>
      </w:r>
      <w:r w:rsidRPr="004665E0">
        <w:rPr>
          <w:rFonts w:ascii="Times New Roman" w:eastAsia="Calibri" w:hAnsi="Times New Roman" w:cs="Times New Roman"/>
          <w:sz w:val="24"/>
          <w:szCs w:val="24"/>
        </w:rPr>
        <w:t>,</w:t>
      </w:r>
      <w:r>
        <w:rPr>
          <w:rFonts w:ascii="Times New Roman" w:eastAsia="Calibri" w:hAnsi="Times New Roman" w:cs="Times New Roman"/>
          <w:sz w:val="24"/>
          <w:szCs w:val="24"/>
        </w:rPr>
        <w:t>46</w:t>
      </w:r>
      <w:r w:rsidRPr="005C362A">
        <w:rPr>
          <w:rFonts w:ascii="Times New Roman" w:eastAsia="Calibri" w:hAnsi="Times New Roman" w:cs="Times New Roman"/>
          <w:sz w:val="24"/>
          <w:szCs w:val="24"/>
        </w:rPr>
        <w:t>% (</w:t>
      </w:r>
      <w:r w:rsidRPr="005C362A">
        <w:rPr>
          <w:rFonts w:ascii="Times New Roman" w:eastAsia="Calibri" w:hAnsi="Times New Roman" w:cs="Times New Roman"/>
          <w:bCs/>
          <w:sz w:val="24"/>
          <w:szCs w:val="24"/>
        </w:rPr>
        <w:t>vidjeti Tablicu br. 1</w:t>
      </w:r>
      <w:r w:rsidRPr="005C362A">
        <w:rPr>
          <w:rFonts w:ascii="Times New Roman" w:eastAsia="Calibri" w:hAnsi="Times New Roman" w:cs="Times New Roman"/>
          <w:sz w:val="24"/>
          <w:szCs w:val="24"/>
        </w:rPr>
        <w:t>).</w:t>
      </w:r>
    </w:p>
    <w:p w14:paraId="1F4F4C3E" w14:textId="77777777" w:rsidR="008914BE" w:rsidRPr="004665E0" w:rsidRDefault="008914BE" w:rsidP="008914BE">
      <w:pPr>
        <w:spacing w:after="0" w:line="240" w:lineRule="auto"/>
        <w:jc w:val="both"/>
        <w:rPr>
          <w:rFonts w:ascii="Times New Roman" w:eastAsia="Calibri" w:hAnsi="Times New Roman" w:cs="Times New Roman"/>
          <w:sz w:val="24"/>
          <w:szCs w:val="24"/>
        </w:rPr>
      </w:pPr>
    </w:p>
    <w:p w14:paraId="402CA1F1" w14:textId="0A39098A" w:rsidR="008914BE" w:rsidRDefault="008914BE" w:rsidP="008914BE">
      <w:pPr>
        <w:spacing w:after="0" w:line="240" w:lineRule="auto"/>
        <w:jc w:val="both"/>
        <w:rPr>
          <w:rFonts w:ascii="Times New Roman" w:eastAsia="Calibri" w:hAnsi="Times New Roman" w:cs="Times New Roman"/>
          <w:sz w:val="24"/>
          <w:szCs w:val="24"/>
        </w:rPr>
      </w:pPr>
      <w:r w:rsidRPr="005C362A">
        <w:rPr>
          <w:rFonts w:ascii="Times New Roman" w:eastAsia="Calibri" w:hAnsi="Times New Roman" w:cs="Times New Roman"/>
          <w:bCs/>
          <w:sz w:val="24"/>
          <w:szCs w:val="24"/>
        </w:rPr>
        <w:t xml:space="preserve">Vezano </w:t>
      </w:r>
      <w:r w:rsidR="00E205F1">
        <w:rPr>
          <w:rFonts w:ascii="Times New Roman" w:eastAsia="Calibri" w:hAnsi="Times New Roman" w:cs="Times New Roman"/>
          <w:bCs/>
          <w:sz w:val="24"/>
          <w:szCs w:val="24"/>
        </w:rPr>
        <w:t xml:space="preserve">uz </w:t>
      </w:r>
      <w:r w:rsidRPr="005C362A">
        <w:rPr>
          <w:rFonts w:ascii="Times New Roman" w:eastAsia="Calibri" w:hAnsi="Times New Roman" w:cs="Times New Roman"/>
          <w:bCs/>
          <w:sz w:val="24"/>
          <w:szCs w:val="24"/>
        </w:rPr>
        <w:t>podatke iz Tablice br. 1</w:t>
      </w:r>
      <w:r w:rsidRPr="005C362A">
        <w:rPr>
          <w:rFonts w:ascii="Times New Roman" w:eastAsia="Calibri" w:hAnsi="Times New Roman" w:cs="Times New Roman"/>
          <w:sz w:val="24"/>
          <w:szCs w:val="24"/>
        </w:rPr>
        <w:t xml:space="preserve"> </w:t>
      </w:r>
      <w:r w:rsidRPr="004665E0">
        <w:rPr>
          <w:rFonts w:ascii="Times New Roman" w:eastAsia="Calibri" w:hAnsi="Times New Roman" w:cs="Times New Roman"/>
          <w:sz w:val="24"/>
          <w:szCs w:val="24"/>
        </w:rPr>
        <w:t>proizlazi da je na dan 31. prosinca 202</w:t>
      </w:r>
      <w:r>
        <w:rPr>
          <w:rFonts w:ascii="Times New Roman" w:eastAsia="Calibri" w:hAnsi="Times New Roman" w:cs="Times New Roman"/>
          <w:sz w:val="24"/>
          <w:szCs w:val="24"/>
        </w:rPr>
        <w:t>2</w:t>
      </w:r>
      <w:r w:rsidRPr="004665E0">
        <w:rPr>
          <w:rFonts w:ascii="Times New Roman" w:eastAsia="Calibri" w:hAnsi="Times New Roman" w:cs="Times New Roman"/>
          <w:sz w:val="24"/>
          <w:szCs w:val="24"/>
        </w:rPr>
        <w:t>. u Uredu bilo zaposleno sedamnaest (1</w:t>
      </w:r>
      <w:r>
        <w:rPr>
          <w:rFonts w:ascii="Times New Roman" w:eastAsia="Calibri" w:hAnsi="Times New Roman" w:cs="Times New Roman"/>
          <w:sz w:val="24"/>
          <w:szCs w:val="24"/>
        </w:rPr>
        <w:t>9</w:t>
      </w:r>
      <w:r w:rsidRPr="004665E0">
        <w:rPr>
          <w:rFonts w:ascii="Times New Roman" w:eastAsia="Calibri" w:hAnsi="Times New Roman" w:cs="Times New Roman"/>
          <w:sz w:val="24"/>
          <w:szCs w:val="24"/>
        </w:rPr>
        <w:t>) službenika s visokom stručnom spremom (8</w:t>
      </w:r>
      <w:r>
        <w:rPr>
          <w:rFonts w:ascii="Times New Roman" w:eastAsia="Calibri" w:hAnsi="Times New Roman" w:cs="Times New Roman"/>
          <w:sz w:val="24"/>
          <w:szCs w:val="24"/>
        </w:rPr>
        <w:t>6</w:t>
      </w:r>
      <w:r w:rsidRPr="004665E0">
        <w:rPr>
          <w:rFonts w:ascii="Times New Roman" w:eastAsia="Calibri" w:hAnsi="Times New Roman" w:cs="Times New Roman"/>
          <w:sz w:val="24"/>
          <w:szCs w:val="24"/>
        </w:rPr>
        <w:t>,</w:t>
      </w:r>
      <w:r>
        <w:rPr>
          <w:rFonts w:ascii="Times New Roman" w:eastAsia="Calibri" w:hAnsi="Times New Roman" w:cs="Times New Roman"/>
          <w:sz w:val="24"/>
          <w:szCs w:val="24"/>
        </w:rPr>
        <w:t>36</w:t>
      </w:r>
      <w:r w:rsidRPr="004665E0">
        <w:rPr>
          <w:rFonts w:ascii="Times New Roman" w:eastAsia="Calibri" w:hAnsi="Times New Roman" w:cs="Times New Roman"/>
          <w:sz w:val="24"/>
          <w:szCs w:val="24"/>
        </w:rPr>
        <w:t>%) ekonomske i pravne struke te tri (3) službenika sa srednjom stručnom spremom (1</w:t>
      </w:r>
      <w:r>
        <w:rPr>
          <w:rFonts w:ascii="Times New Roman" w:eastAsia="Calibri" w:hAnsi="Times New Roman" w:cs="Times New Roman"/>
          <w:sz w:val="24"/>
          <w:szCs w:val="24"/>
        </w:rPr>
        <w:t>3</w:t>
      </w:r>
      <w:r w:rsidRPr="004665E0">
        <w:rPr>
          <w:rFonts w:ascii="Times New Roman" w:eastAsia="Calibri" w:hAnsi="Times New Roman" w:cs="Times New Roman"/>
          <w:sz w:val="24"/>
          <w:szCs w:val="24"/>
        </w:rPr>
        <w:t>,</w:t>
      </w:r>
      <w:r>
        <w:rPr>
          <w:rFonts w:ascii="Times New Roman" w:eastAsia="Calibri" w:hAnsi="Times New Roman" w:cs="Times New Roman"/>
          <w:sz w:val="24"/>
          <w:szCs w:val="24"/>
        </w:rPr>
        <w:t>64</w:t>
      </w:r>
      <w:r w:rsidRPr="004665E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0B4D75F8" w14:textId="77777777" w:rsidR="008914BE" w:rsidRPr="004665E0" w:rsidRDefault="008914BE" w:rsidP="008914BE">
      <w:pPr>
        <w:spacing w:after="0" w:line="240" w:lineRule="auto"/>
        <w:jc w:val="both"/>
        <w:rPr>
          <w:rFonts w:ascii="Times New Roman" w:eastAsia="Calibri" w:hAnsi="Times New Roman" w:cs="Times New Roman"/>
          <w:sz w:val="24"/>
          <w:szCs w:val="24"/>
        </w:rPr>
      </w:pPr>
    </w:p>
    <w:p w14:paraId="3AF57318" w14:textId="77777777" w:rsidR="008914BE" w:rsidRPr="004665E0" w:rsidRDefault="008914BE" w:rsidP="008914BE">
      <w:pPr>
        <w:spacing w:after="0" w:line="240" w:lineRule="auto"/>
        <w:jc w:val="both"/>
        <w:rPr>
          <w:rFonts w:ascii="Times New Roman" w:eastAsia="Calibri" w:hAnsi="Times New Roman" w:cs="Times New Roman"/>
          <w:iCs/>
          <w:sz w:val="24"/>
          <w:szCs w:val="24"/>
          <w:lang w:eastAsia="hr-HR"/>
        </w:rPr>
      </w:pPr>
      <w:r w:rsidRPr="004665E0">
        <w:rPr>
          <w:rFonts w:ascii="Times New Roman" w:eastAsia="Calibri" w:hAnsi="Times New Roman" w:cs="Times New Roman"/>
          <w:iCs/>
          <w:sz w:val="24"/>
          <w:szCs w:val="24"/>
          <w:lang w:eastAsia="hr-HR"/>
        </w:rPr>
        <w:t xml:space="preserve">Uzimajući u obzir broj sistematiziranih radnih mjesta u Uredu i broj stvarno zaposlenih u Uredu evidentna je kontinuirana nepopunjenost radnih mjesta u Uredu. </w:t>
      </w:r>
    </w:p>
    <w:p w14:paraId="754D35CF" w14:textId="77777777" w:rsidR="008914BE" w:rsidRPr="004665E0" w:rsidRDefault="008914BE" w:rsidP="008914BE">
      <w:pPr>
        <w:spacing w:after="0" w:line="240" w:lineRule="auto"/>
        <w:jc w:val="both"/>
        <w:rPr>
          <w:rFonts w:ascii="Times New Roman" w:eastAsia="Calibri" w:hAnsi="Times New Roman" w:cs="Times New Roman"/>
          <w:iCs/>
          <w:sz w:val="24"/>
          <w:szCs w:val="24"/>
          <w:lang w:eastAsia="hr-HR"/>
        </w:rPr>
      </w:pPr>
    </w:p>
    <w:p w14:paraId="6691DE74" w14:textId="77777777" w:rsidR="004665E0" w:rsidRPr="004665E0" w:rsidRDefault="004665E0" w:rsidP="004665E0">
      <w:pPr>
        <w:rPr>
          <w:rFonts w:ascii="Times New Roman" w:eastAsia="Times New Roman" w:hAnsi="Times New Roman" w:cs="Times New Roman"/>
          <w:sz w:val="24"/>
          <w:szCs w:val="24"/>
          <w:lang w:eastAsia="zh-CN"/>
        </w:rPr>
      </w:pPr>
      <w:r w:rsidRPr="004665E0">
        <w:rPr>
          <w:rFonts w:ascii="Times New Roman" w:eastAsia="Times New Roman" w:hAnsi="Times New Roman" w:cs="Times New Roman"/>
          <w:sz w:val="24"/>
          <w:szCs w:val="24"/>
          <w:lang w:eastAsia="zh-CN"/>
        </w:rPr>
        <w:br w:type="page"/>
      </w:r>
    </w:p>
    <w:p w14:paraId="4FD86F46" w14:textId="0948148C" w:rsidR="004665E0" w:rsidRPr="004665E0" w:rsidRDefault="004665E0" w:rsidP="005F392D">
      <w:pPr>
        <w:pStyle w:val="Naslov2"/>
      </w:pPr>
      <w:bookmarkStart w:id="11" w:name="_Toc153353418"/>
      <w:r w:rsidRPr="004665E0">
        <w:lastRenderedPageBreak/>
        <w:t>ANALITIČKO-OBAVJEŠTAJNI RAD UREDA</w:t>
      </w:r>
      <w:bookmarkEnd w:id="11"/>
    </w:p>
    <w:p w14:paraId="3D31B3C9" w14:textId="77777777" w:rsidR="004665E0" w:rsidRPr="004665E0" w:rsidRDefault="004665E0" w:rsidP="004665E0">
      <w:pPr>
        <w:spacing w:after="0" w:line="240" w:lineRule="auto"/>
        <w:jc w:val="both"/>
        <w:rPr>
          <w:rFonts w:ascii="Times New Roman" w:eastAsia="Times New Roman" w:hAnsi="Times New Roman" w:cs="Times New Roman"/>
          <w:sz w:val="24"/>
          <w:szCs w:val="24"/>
          <w:lang w:eastAsia="hr-HR"/>
        </w:rPr>
      </w:pPr>
    </w:p>
    <w:p w14:paraId="36CAFA51" w14:textId="77777777" w:rsidR="004665E0" w:rsidRPr="004665E0" w:rsidRDefault="004665E0" w:rsidP="004665E0">
      <w:pPr>
        <w:spacing w:after="0" w:line="240" w:lineRule="auto"/>
        <w:jc w:val="both"/>
        <w:rPr>
          <w:rFonts w:ascii="Times New Roman" w:eastAsia="Times New Roman" w:hAnsi="Times New Roman" w:cs="Times New Roman"/>
          <w:sz w:val="24"/>
          <w:szCs w:val="24"/>
          <w:u w:val="single"/>
          <w:lang w:eastAsia="hr-HR"/>
        </w:rPr>
      </w:pPr>
      <w:r w:rsidRPr="004665E0">
        <w:rPr>
          <w:rFonts w:ascii="Times New Roman" w:eastAsia="Times New Roman" w:hAnsi="Times New Roman" w:cs="Times New Roman"/>
          <w:sz w:val="24"/>
          <w:szCs w:val="24"/>
          <w:lang w:eastAsia="hr-HR"/>
        </w:rPr>
        <w:t>Primarna funkcija Ureda kao financijsko-obavještajne jedinice je analitičko obavještajna obrada sumnjivih transakcija, sredstava i osoba u cilju sprječavanja pranja novca i financiranja terorizma.</w:t>
      </w:r>
    </w:p>
    <w:p w14:paraId="0AE640B4" w14:textId="77777777" w:rsidR="004665E0" w:rsidRPr="004665E0" w:rsidRDefault="004665E0" w:rsidP="004665E0">
      <w:pPr>
        <w:spacing w:after="0" w:line="240" w:lineRule="auto"/>
        <w:jc w:val="both"/>
        <w:rPr>
          <w:rFonts w:ascii="Times New Roman" w:eastAsia="Times New Roman" w:hAnsi="Times New Roman" w:cs="Times New Roman"/>
          <w:sz w:val="24"/>
          <w:szCs w:val="24"/>
          <w:lang w:eastAsia="hr-HR"/>
        </w:rPr>
      </w:pPr>
    </w:p>
    <w:p w14:paraId="3E4CEBE5" w14:textId="77777777" w:rsidR="004665E0" w:rsidRPr="004665E0" w:rsidRDefault="004665E0" w:rsidP="004665E0">
      <w:pPr>
        <w:spacing w:after="0" w:line="240" w:lineRule="auto"/>
        <w:jc w:val="both"/>
        <w:rPr>
          <w:rFonts w:ascii="Times New Roman" w:eastAsia="Times New Roman" w:hAnsi="Times New Roman" w:cs="Times New Roman"/>
          <w:iCs/>
          <w:sz w:val="24"/>
          <w:szCs w:val="24"/>
          <w:lang w:eastAsia="hr-HR"/>
        </w:rPr>
      </w:pPr>
      <w:r w:rsidRPr="004665E0">
        <w:rPr>
          <w:rFonts w:ascii="Times New Roman" w:eastAsia="Times New Roman" w:hAnsi="Times New Roman" w:cs="Times New Roman"/>
          <w:iCs/>
          <w:sz w:val="24"/>
          <w:szCs w:val="24"/>
          <w:lang w:eastAsia="hr-HR"/>
        </w:rPr>
        <w:t>Ured je ovlašten započeti analitičko obavještajnu obradu transakcija nakon što mu obavijest o sumnji na pranje novca ili financiranje terorizma dostave:</w:t>
      </w:r>
    </w:p>
    <w:p w14:paraId="28027401" w14:textId="27786685" w:rsidR="004665E0" w:rsidRPr="004665E0" w:rsidRDefault="004665E0" w:rsidP="00BD4933">
      <w:pPr>
        <w:numPr>
          <w:ilvl w:val="0"/>
          <w:numId w:val="5"/>
        </w:numPr>
        <w:spacing w:after="0" w:line="240" w:lineRule="auto"/>
        <w:jc w:val="both"/>
        <w:rPr>
          <w:rFonts w:ascii="Times New Roman" w:eastAsia="Times New Roman" w:hAnsi="Times New Roman" w:cs="Times New Roman"/>
          <w:sz w:val="24"/>
          <w:szCs w:val="24"/>
          <w:lang w:eastAsia="hr-HR"/>
        </w:rPr>
      </w:pPr>
      <w:r w:rsidRPr="004665E0">
        <w:rPr>
          <w:rFonts w:ascii="Times New Roman" w:eastAsia="Times New Roman" w:hAnsi="Times New Roman" w:cs="Times New Roman"/>
          <w:sz w:val="24"/>
          <w:szCs w:val="24"/>
          <w:lang w:eastAsia="hr-HR"/>
        </w:rPr>
        <w:t xml:space="preserve">obveznici </w:t>
      </w:r>
      <w:r w:rsidR="005C362A">
        <w:rPr>
          <w:rFonts w:ascii="Times New Roman" w:eastAsia="Times New Roman" w:hAnsi="Times New Roman" w:cs="Times New Roman"/>
          <w:sz w:val="24"/>
          <w:szCs w:val="24"/>
          <w:lang w:eastAsia="hr-HR"/>
        </w:rPr>
        <w:t>iz</w:t>
      </w:r>
      <w:r w:rsidRPr="004665E0">
        <w:rPr>
          <w:rFonts w:ascii="Times New Roman" w:eastAsia="Times New Roman" w:hAnsi="Times New Roman" w:cs="Times New Roman"/>
          <w:sz w:val="24"/>
          <w:szCs w:val="24"/>
          <w:lang w:eastAsia="hr-HR"/>
        </w:rPr>
        <w:t xml:space="preserve"> članak</w:t>
      </w:r>
      <w:r w:rsidR="005C362A">
        <w:rPr>
          <w:rFonts w:ascii="Times New Roman" w:eastAsia="Times New Roman" w:hAnsi="Times New Roman" w:cs="Times New Roman"/>
          <w:sz w:val="24"/>
          <w:szCs w:val="24"/>
          <w:lang w:eastAsia="hr-HR"/>
        </w:rPr>
        <w:t>a</w:t>
      </w:r>
      <w:r w:rsidRPr="004665E0">
        <w:rPr>
          <w:rFonts w:ascii="Times New Roman" w:eastAsia="Times New Roman" w:hAnsi="Times New Roman" w:cs="Times New Roman"/>
          <w:sz w:val="24"/>
          <w:szCs w:val="24"/>
          <w:lang w:eastAsia="hr-HR"/>
        </w:rPr>
        <w:t xml:space="preserve"> 9. Zakona</w:t>
      </w:r>
    </w:p>
    <w:p w14:paraId="01290C9B" w14:textId="34B4841A" w:rsidR="004665E0" w:rsidRPr="004665E0" w:rsidRDefault="004665E0" w:rsidP="00BD4933">
      <w:pPr>
        <w:numPr>
          <w:ilvl w:val="0"/>
          <w:numId w:val="5"/>
        </w:numPr>
        <w:spacing w:after="0" w:line="240" w:lineRule="auto"/>
        <w:jc w:val="both"/>
        <w:rPr>
          <w:rFonts w:ascii="Times New Roman" w:eastAsia="Times New Roman" w:hAnsi="Times New Roman" w:cs="Times New Roman"/>
          <w:sz w:val="24"/>
          <w:szCs w:val="24"/>
          <w:lang w:eastAsia="hr-HR"/>
        </w:rPr>
      </w:pPr>
      <w:r w:rsidRPr="004665E0">
        <w:rPr>
          <w:rFonts w:ascii="Times New Roman" w:eastAsia="Times New Roman" w:hAnsi="Times New Roman" w:cs="Times New Roman"/>
          <w:sz w:val="24"/>
          <w:szCs w:val="24"/>
          <w:lang w:eastAsia="hr-HR"/>
        </w:rPr>
        <w:t xml:space="preserve">državna tijela </w:t>
      </w:r>
      <w:r w:rsidR="005C362A">
        <w:rPr>
          <w:rFonts w:ascii="Times New Roman" w:eastAsia="Times New Roman" w:hAnsi="Times New Roman" w:cs="Times New Roman"/>
          <w:sz w:val="24"/>
          <w:szCs w:val="24"/>
          <w:lang w:eastAsia="hr-HR"/>
        </w:rPr>
        <w:t>iz</w:t>
      </w:r>
      <w:r w:rsidRPr="004665E0">
        <w:rPr>
          <w:rFonts w:ascii="Times New Roman" w:eastAsia="Times New Roman" w:hAnsi="Times New Roman" w:cs="Times New Roman"/>
          <w:sz w:val="24"/>
          <w:szCs w:val="24"/>
          <w:lang w:eastAsia="hr-HR"/>
        </w:rPr>
        <w:t xml:space="preserve"> članak</w:t>
      </w:r>
      <w:r w:rsidR="005C362A">
        <w:rPr>
          <w:rFonts w:ascii="Times New Roman" w:eastAsia="Times New Roman" w:hAnsi="Times New Roman" w:cs="Times New Roman"/>
          <w:sz w:val="24"/>
          <w:szCs w:val="24"/>
          <w:lang w:eastAsia="hr-HR"/>
        </w:rPr>
        <w:t>a</w:t>
      </w:r>
      <w:r w:rsidRPr="004665E0">
        <w:rPr>
          <w:rFonts w:ascii="Times New Roman" w:eastAsia="Times New Roman" w:hAnsi="Times New Roman" w:cs="Times New Roman"/>
          <w:sz w:val="24"/>
          <w:szCs w:val="24"/>
          <w:lang w:eastAsia="hr-HR"/>
        </w:rPr>
        <w:t xml:space="preserve"> 123. Zakona</w:t>
      </w:r>
    </w:p>
    <w:p w14:paraId="1ED5394D" w14:textId="6027969F" w:rsidR="004665E0" w:rsidRPr="004665E0" w:rsidRDefault="004665E0" w:rsidP="00BD4933">
      <w:pPr>
        <w:numPr>
          <w:ilvl w:val="0"/>
          <w:numId w:val="5"/>
        </w:numPr>
        <w:spacing w:after="0" w:line="240" w:lineRule="auto"/>
        <w:jc w:val="both"/>
        <w:rPr>
          <w:rFonts w:ascii="Times New Roman" w:eastAsia="Times New Roman" w:hAnsi="Times New Roman" w:cs="Times New Roman"/>
          <w:sz w:val="24"/>
          <w:szCs w:val="24"/>
          <w:lang w:eastAsia="hr-HR"/>
        </w:rPr>
      </w:pPr>
      <w:r w:rsidRPr="004665E0">
        <w:rPr>
          <w:rFonts w:ascii="Times New Roman" w:eastAsia="Times New Roman" w:hAnsi="Times New Roman" w:cs="Times New Roman"/>
          <w:sz w:val="24"/>
          <w:szCs w:val="24"/>
          <w:lang w:eastAsia="hr-HR"/>
        </w:rPr>
        <w:t>inozemne financijsko</w:t>
      </w:r>
      <w:r w:rsidR="0078781B">
        <w:rPr>
          <w:rFonts w:ascii="Times New Roman" w:eastAsia="Times New Roman" w:hAnsi="Times New Roman" w:cs="Times New Roman"/>
          <w:sz w:val="24"/>
          <w:szCs w:val="24"/>
          <w:lang w:eastAsia="hr-HR"/>
        </w:rPr>
        <w:t>-</w:t>
      </w:r>
      <w:r w:rsidRPr="004665E0">
        <w:rPr>
          <w:rFonts w:ascii="Times New Roman" w:eastAsia="Times New Roman" w:hAnsi="Times New Roman" w:cs="Times New Roman"/>
          <w:sz w:val="24"/>
          <w:szCs w:val="24"/>
          <w:lang w:eastAsia="hr-HR"/>
        </w:rPr>
        <w:t xml:space="preserve"> obavještajne jedinice </w:t>
      </w:r>
      <w:r w:rsidR="005C362A">
        <w:rPr>
          <w:rFonts w:ascii="Times New Roman" w:eastAsia="Times New Roman" w:hAnsi="Times New Roman" w:cs="Times New Roman"/>
          <w:sz w:val="24"/>
          <w:szCs w:val="24"/>
          <w:lang w:eastAsia="hr-HR"/>
        </w:rPr>
        <w:t>iz</w:t>
      </w:r>
      <w:r w:rsidRPr="004665E0">
        <w:rPr>
          <w:rFonts w:ascii="Times New Roman" w:eastAsia="Times New Roman" w:hAnsi="Times New Roman" w:cs="Times New Roman"/>
          <w:sz w:val="24"/>
          <w:szCs w:val="24"/>
          <w:lang w:eastAsia="hr-HR"/>
        </w:rPr>
        <w:t xml:space="preserve"> članak</w:t>
      </w:r>
      <w:r w:rsidR="005C362A">
        <w:rPr>
          <w:rFonts w:ascii="Times New Roman" w:eastAsia="Times New Roman" w:hAnsi="Times New Roman" w:cs="Times New Roman"/>
          <w:sz w:val="24"/>
          <w:szCs w:val="24"/>
          <w:lang w:eastAsia="hr-HR"/>
        </w:rPr>
        <w:t>a</w:t>
      </w:r>
      <w:r w:rsidRPr="004665E0">
        <w:rPr>
          <w:rFonts w:ascii="Times New Roman" w:eastAsia="Times New Roman" w:hAnsi="Times New Roman" w:cs="Times New Roman"/>
          <w:sz w:val="24"/>
          <w:szCs w:val="24"/>
          <w:lang w:eastAsia="hr-HR"/>
        </w:rPr>
        <w:t xml:space="preserve"> 129. Zakona.</w:t>
      </w:r>
    </w:p>
    <w:p w14:paraId="75041224" w14:textId="77777777" w:rsidR="004665E0" w:rsidRPr="004665E0" w:rsidRDefault="004665E0" w:rsidP="004665E0">
      <w:pPr>
        <w:spacing w:after="0" w:line="240" w:lineRule="auto"/>
        <w:ind w:left="113"/>
        <w:jc w:val="both"/>
        <w:rPr>
          <w:rFonts w:ascii="Times New Roman" w:eastAsia="Times New Roman" w:hAnsi="Times New Roman" w:cs="Times New Roman"/>
          <w:sz w:val="24"/>
          <w:szCs w:val="24"/>
          <w:lang w:eastAsia="hr-HR"/>
        </w:rPr>
      </w:pPr>
    </w:p>
    <w:p w14:paraId="3838EC3F" w14:textId="77777777" w:rsidR="004665E0" w:rsidRPr="004665E0" w:rsidRDefault="004665E0" w:rsidP="004665E0">
      <w:pPr>
        <w:spacing w:after="0" w:line="240" w:lineRule="auto"/>
        <w:jc w:val="both"/>
        <w:rPr>
          <w:rFonts w:ascii="Times New Roman" w:eastAsia="Times New Roman" w:hAnsi="Times New Roman" w:cs="Times New Roman"/>
          <w:sz w:val="24"/>
          <w:szCs w:val="24"/>
          <w:lang w:eastAsia="hr-HR"/>
        </w:rPr>
      </w:pPr>
      <w:r w:rsidRPr="004665E0">
        <w:rPr>
          <w:rFonts w:ascii="Times New Roman" w:eastAsia="Times New Roman" w:hAnsi="Times New Roman" w:cs="Times New Roman"/>
          <w:sz w:val="24"/>
          <w:szCs w:val="24"/>
          <w:lang w:eastAsia="hr-HR"/>
        </w:rPr>
        <w:t>Po otvaranju analitičkog predmeta Ured za analizu koristi interne baze podataka i ovlašten je prikupiti sve dodatne podatke od obveznika, državnih tijela i inozemnih FOJ u svrhu sprječavanja/otkrivanja pranja novca i financiranja terorizma.</w:t>
      </w:r>
    </w:p>
    <w:p w14:paraId="7FC923A3" w14:textId="77777777" w:rsidR="004665E0" w:rsidRPr="004665E0" w:rsidRDefault="004665E0" w:rsidP="004665E0">
      <w:pPr>
        <w:spacing w:after="0" w:line="240" w:lineRule="auto"/>
        <w:jc w:val="both"/>
        <w:rPr>
          <w:rFonts w:ascii="Times New Roman" w:eastAsia="Times New Roman" w:hAnsi="Times New Roman" w:cs="Times New Roman"/>
          <w:sz w:val="24"/>
          <w:szCs w:val="24"/>
          <w:lang w:eastAsia="hr-HR"/>
        </w:rPr>
      </w:pPr>
      <w:r w:rsidRPr="004665E0">
        <w:rPr>
          <w:rFonts w:ascii="Times New Roman" w:eastAsia="Times New Roman" w:hAnsi="Times New Roman" w:cs="Times New Roman"/>
          <w:sz w:val="24"/>
          <w:szCs w:val="24"/>
          <w:lang w:eastAsia="hr-HR"/>
        </w:rPr>
        <w:t>Tijekom analitičko obavještajne obrade sumnjivih transakcija, sredstava i osoba Ured je ovlašten poduzimati specifične mjere izdavanjem:</w:t>
      </w:r>
    </w:p>
    <w:p w14:paraId="626916A1" w14:textId="77777777" w:rsidR="004665E0" w:rsidRPr="004665E0" w:rsidRDefault="004665E0" w:rsidP="00BD4933">
      <w:pPr>
        <w:numPr>
          <w:ilvl w:val="0"/>
          <w:numId w:val="5"/>
        </w:numPr>
        <w:spacing w:after="0" w:line="240" w:lineRule="auto"/>
        <w:jc w:val="both"/>
        <w:rPr>
          <w:rFonts w:ascii="Times New Roman" w:eastAsia="Times New Roman" w:hAnsi="Times New Roman" w:cs="Times New Roman"/>
          <w:sz w:val="24"/>
          <w:szCs w:val="24"/>
          <w:lang w:eastAsia="hr-HR"/>
        </w:rPr>
      </w:pPr>
      <w:r w:rsidRPr="004665E0">
        <w:rPr>
          <w:rFonts w:ascii="Times New Roman" w:eastAsia="Times New Roman" w:hAnsi="Times New Roman" w:cs="Times New Roman"/>
          <w:sz w:val="24"/>
          <w:szCs w:val="24"/>
          <w:lang w:eastAsia="hr-HR"/>
        </w:rPr>
        <w:t>naloga obvezniku za privremeno zaustavljanje obavljanje sumnjive transakcije - članak 117. Zakona. tzv. blokade sumnjivih transakcija</w:t>
      </w:r>
    </w:p>
    <w:p w14:paraId="74960669" w14:textId="77777777" w:rsidR="004665E0" w:rsidRPr="004665E0" w:rsidRDefault="004665E0" w:rsidP="00BD4933">
      <w:pPr>
        <w:numPr>
          <w:ilvl w:val="0"/>
          <w:numId w:val="5"/>
        </w:numPr>
        <w:spacing w:after="0" w:line="240" w:lineRule="auto"/>
        <w:jc w:val="both"/>
        <w:rPr>
          <w:rFonts w:ascii="Times New Roman" w:eastAsia="Times New Roman" w:hAnsi="Times New Roman" w:cs="Times New Roman"/>
          <w:sz w:val="24"/>
          <w:szCs w:val="24"/>
          <w:lang w:eastAsia="hr-HR"/>
        </w:rPr>
      </w:pPr>
      <w:r w:rsidRPr="004665E0">
        <w:rPr>
          <w:rFonts w:ascii="Times New Roman" w:eastAsia="Times New Roman" w:hAnsi="Times New Roman" w:cs="Times New Roman"/>
          <w:sz w:val="24"/>
          <w:szCs w:val="24"/>
          <w:lang w:eastAsia="hr-HR"/>
        </w:rPr>
        <w:t>naloga obvezniku za stalno praćenje financijskog poslovanja stranke – članak 119. Zakona.</w:t>
      </w:r>
    </w:p>
    <w:p w14:paraId="3A80E7E0" w14:textId="77777777" w:rsidR="004665E0" w:rsidRPr="004665E0" w:rsidRDefault="004665E0" w:rsidP="004665E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7E4C4E6B" w14:textId="41E135A9" w:rsidR="00B303F4" w:rsidRPr="00B303F4" w:rsidRDefault="004665E0" w:rsidP="00B303F4">
      <w:pPr>
        <w:spacing w:after="0" w:line="240" w:lineRule="auto"/>
        <w:jc w:val="both"/>
        <w:rPr>
          <w:rFonts w:ascii="Times New Roman" w:eastAsia="Times New Roman" w:hAnsi="Times New Roman" w:cs="Times New Roman"/>
          <w:sz w:val="24"/>
          <w:szCs w:val="24"/>
          <w:highlight w:val="lightGray"/>
          <w:lang w:eastAsia="hr-HR"/>
        </w:rPr>
      </w:pPr>
      <w:r w:rsidRPr="004665E0">
        <w:rPr>
          <w:rFonts w:ascii="Times New Roman" w:eastAsia="Times New Roman" w:hAnsi="Times New Roman" w:cs="Times New Roman"/>
          <w:sz w:val="24"/>
          <w:szCs w:val="24"/>
          <w:lang w:eastAsia="hr-HR"/>
        </w:rPr>
        <w:t>Kada na temelju analitičko-obavještajne obrade, uključujući operativnu analizu sumnjivih transakcija zaprimljenih od banaka i drugih obveznika te prikupljenih informacija, podataka i dokumentacije zaprimljenih od nadležnih dr</w:t>
      </w:r>
      <w:r w:rsidR="005C362A">
        <w:rPr>
          <w:rFonts w:ascii="Times New Roman" w:eastAsia="Times New Roman" w:hAnsi="Times New Roman" w:cs="Times New Roman"/>
          <w:sz w:val="24"/>
          <w:szCs w:val="24"/>
          <w:lang w:eastAsia="hr-HR"/>
        </w:rPr>
        <w:t xml:space="preserve">žavnih tijela i inozemnih FOJ, </w:t>
      </w:r>
      <w:r w:rsidRPr="004665E0">
        <w:rPr>
          <w:rFonts w:ascii="Times New Roman" w:eastAsia="Times New Roman" w:hAnsi="Times New Roman" w:cs="Times New Roman"/>
          <w:sz w:val="24"/>
          <w:szCs w:val="24"/>
          <w:lang w:eastAsia="hr-HR"/>
        </w:rPr>
        <w:t xml:space="preserve">Ured ocijeni da u konkretnom slučaju u vezi s transakcijom, određenom osobom ili sredstvima postoje razlozi za sumnju na pranje novca i s time povezana predikatna kaznena djela i/ili financiranje terorizma u zemlji i/ili inozemstvu, pisanim putem </w:t>
      </w:r>
      <w:r w:rsidR="005C362A">
        <w:rPr>
          <w:rFonts w:ascii="Times New Roman" w:eastAsia="Times New Roman" w:hAnsi="Times New Roman" w:cs="Times New Roman"/>
          <w:sz w:val="24"/>
          <w:szCs w:val="24"/>
          <w:lang w:eastAsia="hr-HR"/>
        </w:rPr>
        <w:t>te korištenjem</w:t>
      </w:r>
      <w:r w:rsidRPr="004665E0">
        <w:rPr>
          <w:rFonts w:ascii="Times New Roman" w:eastAsia="Times New Roman" w:hAnsi="Times New Roman" w:cs="Times New Roman"/>
          <w:sz w:val="24"/>
          <w:szCs w:val="24"/>
          <w:lang w:eastAsia="hr-HR"/>
        </w:rPr>
        <w:t xml:space="preserve"> zaštićenih komunikacijskih kanala, rezultate operativnih analiza sa svom potrebnom dokumentacijom, dostavlja nadležnim državnim tijelima ili inozemnim financijsko-obavještajnim jedinicama na daljnje postupanje i procesuiranje (članak 138. Zakona).</w:t>
      </w:r>
    </w:p>
    <w:p w14:paraId="50695B1A" w14:textId="77777777" w:rsidR="00B303F4" w:rsidRDefault="00B303F4" w:rsidP="00B303F4">
      <w:pPr>
        <w:spacing w:after="0" w:line="240" w:lineRule="auto"/>
        <w:jc w:val="both"/>
        <w:rPr>
          <w:rFonts w:ascii="Times New Roman" w:eastAsiaTheme="minorEastAsia" w:hAnsi="Times New Roman" w:cs="Times New Roman"/>
          <w:sz w:val="24"/>
          <w:szCs w:val="24"/>
          <w:highlight w:val="lightGray"/>
        </w:rPr>
      </w:pPr>
    </w:p>
    <w:p w14:paraId="3D600D54" w14:textId="77777777" w:rsidR="004665E0" w:rsidRPr="00672FCA" w:rsidRDefault="004665E0" w:rsidP="004665E0">
      <w:pPr>
        <w:spacing w:after="60" w:line="240" w:lineRule="auto"/>
        <w:jc w:val="both"/>
        <w:rPr>
          <w:rFonts w:ascii="Times New Roman" w:eastAsia="Times New Roman" w:hAnsi="Times New Roman" w:cs="Times New Roman"/>
          <w:b/>
          <w:iCs/>
          <w:sz w:val="24"/>
          <w:szCs w:val="24"/>
          <w:lang w:eastAsia="hr-HR"/>
        </w:rPr>
      </w:pPr>
      <w:r w:rsidRPr="00672FCA">
        <w:rPr>
          <w:rFonts w:ascii="Times New Roman" w:eastAsia="Times New Roman" w:hAnsi="Times New Roman" w:cs="Times New Roman"/>
          <w:b/>
          <w:iCs/>
          <w:sz w:val="24"/>
          <w:szCs w:val="24"/>
          <w:lang w:eastAsia="hr-HR"/>
        </w:rPr>
        <w:t xml:space="preserve">Za analitičko-obavještajni rad Ured koristi sljedeće baze podataka: </w:t>
      </w:r>
    </w:p>
    <w:bookmarkEnd w:id="0"/>
    <w:p w14:paraId="28EC2828" w14:textId="77777777" w:rsidR="005F392D" w:rsidRPr="005F392D" w:rsidRDefault="005F392D" w:rsidP="005F392D">
      <w:pPr>
        <w:tabs>
          <w:tab w:val="left" w:pos="720"/>
        </w:tabs>
        <w:spacing w:after="0" w:line="216" w:lineRule="auto"/>
        <w:contextualSpacing/>
        <w:jc w:val="both"/>
        <w:rPr>
          <w:rFonts w:ascii="Times New Roman" w:eastAsia="Times New Roman" w:hAnsi="Times New Roman" w:cs="Times New Roman"/>
          <w:sz w:val="24"/>
          <w:szCs w:val="24"/>
          <w:lang w:eastAsia="hr-HR"/>
        </w:rPr>
      </w:pPr>
      <w:r w:rsidRPr="005F392D">
        <w:rPr>
          <w:rFonts w:ascii="Times New Roman" w:eastAsia="+mn-ea" w:hAnsi="Times New Roman" w:cs="Times New Roman"/>
          <w:bCs/>
          <w:color w:val="000000"/>
          <w:kern w:val="24"/>
          <w:sz w:val="24"/>
          <w:szCs w:val="24"/>
          <w:lang w:eastAsia="hr-HR"/>
        </w:rPr>
        <w:t>INTERNE BAZE</w:t>
      </w:r>
      <w:r w:rsidRPr="005F392D">
        <w:rPr>
          <w:rFonts w:ascii="Times New Roman" w:eastAsia="+mn-ea" w:hAnsi="Times New Roman" w:cs="Times New Roman"/>
          <w:color w:val="000000"/>
          <w:kern w:val="24"/>
          <w:sz w:val="24"/>
          <w:szCs w:val="24"/>
          <w:lang w:eastAsia="hr-HR"/>
        </w:rPr>
        <w:t>:</w:t>
      </w:r>
    </w:p>
    <w:p w14:paraId="06CD5BCE" w14:textId="7D10CF49" w:rsidR="005F392D" w:rsidRPr="005F392D" w:rsidRDefault="005F392D" w:rsidP="00BD4933">
      <w:pPr>
        <w:numPr>
          <w:ilvl w:val="0"/>
          <w:numId w:val="19"/>
        </w:numPr>
        <w:tabs>
          <w:tab w:val="left" w:pos="1800"/>
        </w:tabs>
        <w:spacing w:after="0" w:line="216" w:lineRule="auto"/>
        <w:contextualSpacing/>
        <w:jc w:val="both"/>
        <w:rPr>
          <w:rFonts w:ascii="Times New Roman" w:eastAsia="Times New Roman" w:hAnsi="Times New Roman" w:cs="Times New Roman"/>
          <w:sz w:val="24"/>
          <w:szCs w:val="24"/>
          <w:lang w:eastAsia="hr-HR"/>
        </w:rPr>
      </w:pPr>
      <w:r w:rsidRPr="005F392D">
        <w:rPr>
          <w:rFonts w:ascii="Times New Roman" w:eastAsia="+mn-ea" w:hAnsi="Times New Roman" w:cs="Times New Roman"/>
          <w:color w:val="000000"/>
          <w:kern w:val="24"/>
          <w:sz w:val="24"/>
          <w:szCs w:val="24"/>
          <w:lang w:eastAsia="hr-HR"/>
        </w:rPr>
        <w:t>Aplikativni sustav</w:t>
      </w:r>
      <w:r w:rsidR="00375117">
        <w:rPr>
          <w:rFonts w:ascii="Times New Roman" w:eastAsia="+mn-ea" w:hAnsi="Times New Roman" w:cs="Times New Roman"/>
          <w:color w:val="000000"/>
          <w:kern w:val="24"/>
          <w:sz w:val="24"/>
          <w:szCs w:val="24"/>
          <w:lang w:eastAsia="hr-HR"/>
        </w:rPr>
        <w:t xml:space="preserve"> </w:t>
      </w:r>
      <w:r w:rsidRPr="005F392D">
        <w:rPr>
          <w:rFonts w:ascii="Times New Roman" w:eastAsia="+mn-ea" w:hAnsi="Times New Roman" w:cs="Times New Roman"/>
          <w:color w:val="000000"/>
          <w:kern w:val="24"/>
          <w:sz w:val="24"/>
          <w:szCs w:val="24"/>
          <w:lang w:eastAsia="hr-HR"/>
        </w:rPr>
        <w:t>Ureda koja sadrži uvezane podatke za sve sudionike (fizičke i pravne osobe) o transakcijama, analitičkim obradama, kaznenim postupcima, osnovnim podatcima (identifikacija, brojevi računa, povezanost s drugim sudionicim</w:t>
      </w:r>
      <w:r w:rsidR="005C362A">
        <w:rPr>
          <w:rFonts w:ascii="Times New Roman" w:eastAsia="+mn-ea" w:hAnsi="Times New Roman" w:cs="Times New Roman"/>
          <w:color w:val="000000"/>
          <w:kern w:val="24"/>
          <w:sz w:val="24"/>
          <w:szCs w:val="24"/>
          <w:lang w:eastAsia="hr-HR"/>
        </w:rPr>
        <w:t>a),</w:t>
      </w:r>
    </w:p>
    <w:p w14:paraId="0F479613" w14:textId="77777777" w:rsidR="005F392D" w:rsidRPr="005F392D" w:rsidRDefault="005F392D" w:rsidP="00BD4933">
      <w:pPr>
        <w:numPr>
          <w:ilvl w:val="0"/>
          <w:numId w:val="19"/>
        </w:numPr>
        <w:tabs>
          <w:tab w:val="left" w:pos="1800"/>
        </w:tabs>
        <w:spacing w:after="0" w:line="216" w:lineRule="auto"/>
        <w:contextualSpacing/>
        <w:jc w:val="both"/>
        <w:rPr>
          <w:rFonts w:ascii="Times New Roman" w:eastAsia="Times New Roman" w:hAnsi="Times New Roman" w:cs="Times New Roman"/>
          <w:sz w:val="24"/>
          <w:szCs w:val="24"/>
          <w:lang w:eastAsia="hr-HR"/>
        </w:rPr>
      </w:pPr>
      <w:r w:rsidRPr="005F392D">
        <w:rPr>
          <w:rFonts w:ascii="Times New Roman" w:eastAsia="+mn-ea" w:hAnsi="Times New Roman" w:cs="Times New Roman"/>
          <w:color w:val="000000"/>
          <w:kern w:val="24"/>
          <w:sz w:val="24"/>
          <w:szCs w:val="24"/>
          <w:lang w:eastAsia="hr-HR"/>
        </w:rPr>
        <w:t>BI baze podataka Ureda</w:t>
      </w:r>
    </w:p>
    <w:p w14:paraId="48551F22" w14:textId="77777777" w:rsidR="005F392D" w:rsidRPr="005F392D" w:rsidRDefault="005F392D" w:rsidP="005F392D">
      <w:pPr>
        <w:tabs>
          <w:tab w:val="left" w:pos="720"/>
        </w:tabs>
        <w:spacing w:after="0" w:line="216" w:lineRule="auto"/>
        <w:contextualSpacing/>
        <w:jc w:val="both"/>
        <w:rPr>
          <w:rFonts w:ascii="Times New Roman" w:eastAsia="Times New Roman" w:hAnsi="Times New Roman" w:cs="Times New Roman"/>
          <w:sz w:val="24"/>
          <w:szCs w:val="24"/>
          <w:lang w:eastAsia="hr-HR"/>
        </w:rPr>
      </w:pPr>
      <w:r w:rsidRPr="005F392D">
        <w:rPr>
          <w:rFonts w:ascii="Times New Roman" w:eastAsia="+mn-ea" w:hAnsi="Times New Roman" w:cs="Times New Roman"/>
          <w:bCs/>
          <w:color w:val="000000"/>
          <w:kern w:val="24"/>
          <w:sz w:val="24"/>
          <w:szCs w:val="24"/>
          <w:lang w:eastAsia="hr-HR"/>
        </w:rPr>
        <w:t>EKSTERNE BAZE:</w:t>
      </w:r>
    </w:p>
    <w:p w14:paraId="04983917" w14:textId="77777777" w:rsidR="005F392D" w:rsidRPr="005F392D" w:rsidRDefault="005F392D" w:rsidP="00BD4933">
      <w:pPr>
        <w:numPr>
          <w:ilvl w:val="0"/>
          <w:numId w:val="20"/>
        </w:numPr>
        <w:tabs>
          <w:tab w:val="left" w:pos="1800"/>
        </w:tabs>
        <w:spacing w:after="0" w:line="216" w:lineRule="auto"/>
        <w:contextualSpacing/>
        <w:jc w:val="both"/>
        <w:rPr>
          <w:rFonts w:ascii="Times New Roman" w:eastAsia="Times New Roman" w:hAnsi="Times New Roman" w:cs="Times New Roman"/>
          <w:sz w:val="24"/>
          <w:szCs w:val="24"/>
          <w:lang w:eastAsia="hr-HR"/>
        </w:rPr>
      </w:pPr>
      <w:r w:rsidRPr="005F392D">
        <w:rPr>
          <w:rFonts w:ascii="Times New Roman" w:eastAsia="+mn-ea" w:hAnsi="Times New Roman" w:cs="Times New Roman"/>
          <w:color w:val="000000"/>
          <w:kern w:val="24"/>
          <w:sz w:val="24"/>
          <w:szCs w:val="24"/>
          <w:lang w:eastAsia="hr-HR"/>
        </w:rPr>
        <w:t>ISPU – informacijski sustav Porezne uprave</w:t>
      </w:r>
    </w:p>
    <w:p w14:paraId="5ED2E3BF" w14:textId="77777777" w:rsidR="005F392D" w:rsidRPr="005F392D" w:rsidRDefault="005F392D" w:rsidP="00BD4933">
      <w:pPr>
        <w:numPr>
          <w:ilvl w:val="0"/>
          <w:numId w:val="20"/>
        </w:numPr>
        <w:tabs>
          <w:tab w:val="left" w:pos="1800"/>
        </w:tabs>
        <w:spacing w:after="0" w:line="216" w:lineRule="auto"/>
        <w:contextualSpacing/>
        <w:jc w:val="both"/>
        <w:rPr>
          <w:rFonts w:ascii="Times New Roman" w:eastAsia="Times New Roman" w:hAnsi="Times New Roman" w:cs="Times New Roman"/>
          <w:sz w:val="24"/>
          <w:szCs w:val="24"/>
          <w:lang w:eastAsia="hr-HR"/>
        </w:rPr>
      </w:pPr>
      <w:r w:rsidRPr="005F392D">
        <w:rPr>
          <w:rFonts w:ascii="Times New Roman" w:eastAsia="+mn-ea" w:hAnsi="Times New Roman" w:cs="Times New Roman"/>
          <w:color w:val="000000"/>
          <w:kern w:val="24"/>
          <w:sz w:val="24"/>
          <w:szCs w:val="24"/>
          <w:lang w:eastAsia="hr-HR"/>
        </w:rPr>
        <w:t>Registar stvarnih vlasnika</w:t>
      </w:r>
    </w:p>
    <w:p w14:paraId="5B77FFA9" w14:textId="77777777" w:rsidR="005F392D" w:rsidRPr="005F392D" w:rsidRDefault="005F392D" w:rsidP="00BD4933">
      <w:pPr>
        <w:numPr>
          <w:ilvl w:val="0"/>
          <w:numId w:val="20"/>
        </w:numPr>
        <w:tabs>
          <w:tab w:val="left" w:pos="1800"/>
        </w:tabs>
        <w:spacing w:after="0" w:line="216" w:lineRule="auto"/>
        <w:contextualSpacing/>
        <w:jc w:val="both"/>
        <w:rPr>
          <w:rFonts w:ascii="Times New Roman" w:eastAsia="Times New Roman" w:hAnsi="Times New Roman" w:cs="Times New Roman"/>
          <w:sz w:val="24"/>
          <w:szCs w:val="24"/>
          <w:lang w:eastAsia="hr-HR"/>
        </w:rPr>
      </w:pPr>
      <w:r w:rsidRPr="005F392D">
        <w:rPr>
          <w:rFonts w:ascii="Times New Roman" w:eastAsia="+mn-ea" w:hAnsi="Times New Roman" w:cs="Times New Roman"/>
          <w:color w:val="000000"/>
          <w:kern w:val="24"/>
          <w:sz w:val="24"/>
          <w:szCs w:val="24"/>
          <w:lang w:eastAsia="hr-HR"/>
        </w:rPr>
        <w:t>Baza MUP-a</w:t>
      </w:r>
    </w:p>
    <w:p w14:paraId="2597D81A" w14:textId="268A8AB5" w:rsidR="005F392D" w:rsidRPr="005F392D" w:rsidRDefault="005F392D" w:rsidP="00BD4933">
      <w:pPr>
        <w:numPr>
          <w:ilvl w:val="0"/>
          <w:numId w:val="20"/>
        </w:numPr>
        <w:tabs>
          <w:tab w:val="left" w:pos="1800"/>
        </w:tabs>
        <w:spacing w:after="0" w:line="216" w:lineRule="auto"/>
        <w:contextualSpacing/>
        <w:jc w:val="both"/>
        <w:rPr>
          <w:rFonts w:ascii="Times New Roman" w:eastAsia="Times New Roman" w:hAnsi="Times New Roman" w:cs="Times New Roman"/>
          <w:sz w:val="24"/>
          <w:szCs w:val="24"/>
          <w:lang w:eastAsia="hr-HR"/>
        </w:rPr>
      </w:pPr>
      <w:r w:rsidRPr="005F392D">
        <w:rPr>
          <w:rFonts w:ascii="Times New Roman" w:eastAsia="+mn-ea" w:hAnsi="Times New Roman" w:cs="Times New Roman"/>
          <w:color w:val="000000"/>
          <w:kern w:val="24"/>
          <w:sz w:val="24"/>
          <w:szCs w:val="24"/>
          <w:lang w:eastAsia="hr-HR"/>
        </w:rPr>
        <w:t xml:space="preserve">Jedinstveni Registar </w:t>
      </w:r>
      <w:r w:rsidR="005C362A">
        <w:rPr>
          <w:rFonts w:ascii="Times New Roman" w:eastAsia="+mn-ea" w:hAnsi="Times New Roman" w:cs="Times New Roman"/>
          <w:color w:val="000000"/>
          <w:kern w:val="24"/>
          <w:sz w:val="24"/>
          <w:szCs w:val="24"/>
          <w:lang w:eastAsia="hr-HR"/>
        </w:rPr>
        <w:t>r</w:t>
      </w:r>
      <w:r w:rsidRPr="005F392D">
        <w:rPr>
          <w:rFonts w:ascii="Times New Roman" w:eastAsia="+mn-ea" w:hAnsi="Times New Roman" w:cs="Times New Roman"/>
          <w:color w:val="000000"/>
          <w:kern w:val="24"/>
          <w:sz w:val="24"/>
          <w:szCs w:val="24"/>
          <w:lang w:eastAsia="hr-HR"/>
        </w:rPr>
        <w:t>ačuna</w:t>
      </w:r>
    </w:p>
    <w:p w14:paraId="4D4A31E4" w14:textId="199B9AF1" w:rsidR="005F392D" w:rsidRPr="005F392D" w:rsidRDefault="000C35D0" w:rsidP="00BD4933">
      <w:pPr>
        <w:numPr>
          <w:ilvl w:val="0"/>
          <w:numId w:val="20"/>
        </w:numPr>
        <w:tabs>
          <w:tab w:val="left" w:pos="1800"/>
        </w:tabs>
        <w:spacing w:after="0" w:line="216" w:lineRule="auto"/>
        <w:contextualSpacing/>
        <w:jc w:val="both"/>
        <w:rPr>
          <w:rFonts w:ascii="Times New Roman" w:eastAsia="Times New Roman" w:hAnsi="Times New Roman" w:cs="Times New Roman"/>
          <w:sz w:val="24"/>
          <w:szCs w:val="24"/>
          <w:lang w:eastAsia="hr-HR"/>
        </w:rPr>
      </w:pPr>
      <w:r>
        <w:rPr>
          <w:rFonts w:ascii="Times New Roman" w:eastAsia="+mn-ea" w:hAnsi="Times New Roman" w:cs="Times New Roman"/>
          <w:color w:val="000000"/>
          <w:kern w:val="24"/>
          <w:sz w:val="24"/>
          <w:szCs w:val="24"/>
          <w:lang w:eastAsia="hr-HR"/>
        </w:rPr>
        <w:t>Baza Zemljišnih knjiga</w:t>
      </w:r>
    </w:p>
    <w:p w14:paraId="3268C681" w14:textId="77777777" w:rsidR="005F392D" w:rsidRPr="005F392D" w:rsidRDefault="005F392D" w:rsidP="00BD4933">
      <w:pPr>
        <w:numPr>
          <w:ilvl w:val="0"/>
          <w:numId w:val="20"/>
        </w:numPr>
        <w:tabs>
          <w:tab w:val="left" w:pos="1800"/>
        </w:tabs>
        <w:spacing w:after="0" w:line="216" w:lineRule="auto"/>
        <w:contextualSpacing/>
        <w:jc w:val="both"/>
        <w:rPr>
          <w:rFonts w:ascii="Times New Roman" w:eastAsia="Times New Roman" w:hAnsi="Times New Roman" w:cs="Times New Roman"/>
          <w:sz w:val="24"/>
          <w:szCs w:val="24"/>
          <w:lang w:eastAsia="hr-HR"/>
        </w:rPr>
      </w:pPr>
      <w:r w:rsidRPr="005F392D">
        <w:rPr>
          <w:rFonts w:ascii="Times New Roman" w:eastAsia="+mn-ea" w:hAnsi="Times New Roman" w:cs="Times New Roman"/>
          <w:color w:val="000000"/>
          <w:kern w:val="24"/>
          <w:sz w:val="24"/>
          <w:szCs w:val="24"/>
          <w:lang w:eastAsia="hr-HR"/>
        </w:rPr>
        <w:t xml:space="preserve">Sudski registar </w:t>
      </w:r>
    </w:p>
    <w:p w14:paraId="7894120F" w14:textId="77777777" w:rsidR="005F392D" w:rsidRPr="005F392D" w:rsidRDefault="005F392D" w:rsidP="00BD4933">
      <w:pPr>
        <w:numPr>
          <w:ilvl w:val="0"/>
          <w:numId w:val="20"/>
        </w:numPr>
        <w:tabs>
          <w:tab w:val="left" w:pos="1800"/>
        </w:tabs>
        <w:spacing w:after="0" w:line="216" w:lineRule="auto"/>
        <w:contextualSpacing/>
        <w:jc w:val="both"/>
        <w:rPr>
          <w:rFonts w:ascii="Times New Roman" w:eastAsia="Times New Roman" w:hAnsi="Times New Roman" w:cs="Times New Roman"/>
          <w:sz w:val="24"/>
          <w:szCs w:val="24"/>
          <w:lang w:eastAsia="hr-HR"/>
        </w:rPr>
      </w:pPr>
      <w:r w:rsidRPr="005F392D">
        <w:rPr>
          <w:rFonts w:ascii="Times New Roman" w:eastAsia="+mn-ea" w:hAnsi="Times New Roman" w:cs="Times New Roman"/>
          <w:color w:val="000000"/>
          <w:kern w:val="24"/>
          <w:sz w:val="24"/>
          <w:szCs w:val="24"/>
          <w:lang w:eastAsia="hr-HR"/>
        </w:rPr>
        <w:t xml:space="preserve">Obrtni registar </w:t>
      </w:r>
    </w:p>
    <w:p w14:paraId="6385C96D" w14:textId="77777777" w:rsidR="005F392D" w:rsidRPr="005F392D" w:rsidRDefault="005F392D" w:rsidP="00BD4933">
      <w:pPr>
        <w:numPr>
          <w:ilvl w:val="0"/>
          <w:numId w:val="20"/>
        </w:numPr>
        <w:tabs>
          <w:tab w:val="left" w:pos="1800"/>
        </w:tabs>
        <w:spacing w:after="0" w:line="216" w:lineRule="auto"/>
        <w:contextualSpacing/>
        <w:jc w:val="both"/>
        <w:rPr>
          <w:rFonts w:ascii="Times New Roman" w:eastAsia="Times New Roman" w:hAnsi="Times New Roman" w:cs="Times New Roman"/>
          <w:sz w:val="24"/>
          <w:szCs w:val="24"/>
          <w:lang w:eastAsia="hr-HR"/>
        </w:rPr>
      </w:pPr>
      <w:r w:rsidRPr="005F392D">
        <w:rPr>
          <w:rFonts w:ascii="Times New Roman" w:eastAsia="+mn-ea" w:hAnsi="Times New Roman" w:cs="Times New Roman"/>
          <w:color w:val="000000"/>
          <w:kern w:val="24"/>
          <w:sz w:val="24"/>
          <w:szCs w:val="24"/>
          <w:lang w:eastAsia="hr-HR"/>
        </w:rPr>
        <w:t xml:space="preserve">Registar udruga </w:t>
      </w:r>
    </w:p>
    <w:p w14:paraId="1E8D3DBB" w14:textId="77777777" w:rsidR="005F392D" w:rsidRPr="005F392D" w:rsidRDefault="005F392D" w:rsidP="00BD4933">
      <w:pPr>
        <w:numPr>
          <w:ilvl w:val="0"/>
          <w:numId w:val="20"/>
        </w:numPr>
        <w:tabs>
          <w:tab w:val="left" w:pos="1800"/>
        </w:tabs>
        <w:spacing w:after="0" w:line="216" w:lineRule="auto"/>
        <w:contextualSpacing/>
        <w:jc w:val="both"/>
        <w:rPr>
          <w:rFonts w:ascii="Times New Roman" w:eastAsia="Times New Roman" w:hAnsi="Times New Roman" w:cs="Times New Roman"/>
          <w:sz w:val="24"/>
          <w:szCs w:val="24"/>
          <w:lang w:eastAsia="hr-HR"/>
        </w:rPr>
      </w:pPr>
      <w:r w:rsidRPr="005F392D">
        <w:rPr>
          <w:rFonts w:ascii="Times New Roman" w:eastAsia="+mn-ea" w:hAnsi="Times New Roman" w:cs="Times New Roman"/>
          <w:color w:val="000000"/>
          <w:kern w:val="24"/>
          <w:sz w:val="24"/>
          <w:szCs w:val="24"/>
          <w:lang w:eastAsia="hr-HR"/>
        </w:rPr>
        <w:t xml:space="preserve">Registar zaklada </w:t>
      </w:r>
    </w:p>
    <w:p w14:paraId="2B85EE53" w14:textId="77777777" w:rsidR="005F392D" w:rsidRPr="005F392D" w:rsidRDefault="005F392D" w:rsidP="00BD4933">
      <w:pPr>
        <w:numPr>
          <w:ilvl w:val="0"/>
          <w:numId w:val="20"/>
        </w:numPr>
        <w:tabs>
          <w:tab w:val="left" w:pos="1800"/>
        </w:tabs>
        <w:spacing w:after="0" w:line="216" w:lineRule="auto"/>
        <w:contextualSpacing/>
        <w:jc w:val="both"/>
        <w:rPr>
          <w:rFonts w:ascii="Times New Roman" w:eastAsia="Times New Roman" w:hAnsi="Times New Roman" w:cs="Times New Roman"/>
          <w:sz w:val="24"/>
          <w:szCs w:val="24"/>
          <w:lang w:eastAsia="hr-HR"/>
        </w:rPr>
      </w:pPr>
      <w:r w:rsidRPr="005F392D">
        <w:rPr>
          <w:rFonts w:ascii="Times New Roman" w:eastAsia="+mn-ea" w:hAnsi="Times New Roman" w:cs="Times New Roman"/>
          <w:color w:val="000000"/>
          <w:kern w:val="24"/>
          <w:sz w:val="24"/>
          <w:szCs w:val="24"/>
          <w:lang w:eastAsia="hr-HR"/>
        </w:rPr>
        <w:t>Registar neprofitnih organizacija</w:t>
      </w:r>
    </w:p>
    <w:p w14:paraId="4C14B341" w14:textId="77777777" w:rsidR="005F392D" w:rsidRPr="005F392D" w:rsidRDefault="005F392D" w:rsidP="00BD4933">
      <w:pPr>
        <w:numPr>
          <w:ilvl w:val="0"/>
          <w:numId w:val="20"/>
        </w:numPr>
        <w:tabs>
          <w:tab w:val="left" w:pos="1800"/>
        </w:tabs>
        <w:spacing w:after="0" w:line="216" w:lineRule="auto"/>
        <w:contextualSpacing/>
        <w:jc w:val="both"/>
        <w:rPr>
          <w:rFonts w:ascii="Times New Roman" w:eastAsia="Times New Roman" w:hAnsi="Times New Roman" w:cs="Times New Roman"/>
          <w:sz w:val="24"/>
          <w:szCs w:val="24"/>
          <w:lang w:eastAsia="hr-HR"/>
        </w:rPr>
      </w:pPr>
      <w:r w:rsidRPr="005F392D">
        <w:rPr>
          <w:rFonts w:ascii="Times New Roman" w:eastAsia="+mn-ea" w:hAnsi="Times New Roman" w:cs="Times New Roman"/>
          <w:color w:val="000000"/>
          <w:kern w:val="24"/>
          <w:sz w:val="24"/>
          <w:szCs w:val="24"/>
          <w:lang w:eastAsia="hr-HR"/>
        </w:rPr>
        <w:t>Inozemne registre pravnih subjekata</w:t>
      </w:r>
    </w:p>
    <w:p w14:paraId="5D9D7FE4" w14:textId="5639333E" w:rsidR="004665E0" w:rsidRPr="002118EE" w:rsidRDefault="005F392D" w:rsidP="002118EE">
      <w:pPr>
        <w:numPr>
          <w:ilvl w:val="0"/>
          <w:numId w:val="20"/>
        </w:numPr>
        <w:tabs>
          <w:tab w:val="left" w:pos="1800"/>
        </w:tabs>
        <w:spacing w:after="0" w:line="216" w:lineRule="auto"/>
        <w:contextualSpacing/>
        <w:jc w:val="both"/>
        <w:rPr>
          <w:rFonts w:ascii="Times New Roman" w:eastAsia="Times New Roman" w:hAnsi="Times New Roman" w:cs="Times New Roman"/>
          <w:sz w:val="24"/>
          <w:szCs w:val="24"/>
          <w:lang w:eastAsia="hr-HR"/>
        </w:rPr>
      </w:pPr>
      <w:r w:rsidRPr="005F392D">
        <w:rPr>
          <w:rFonts w:ascii="Times New Roman" w:eastAsia="+mn-ea" w:hAnsi="Times New Roman" w:cs="Times New Roman"/>
          <w:color w:val="000000"/>
          <w:kern w:val="24"/>
          <w:sz w:val="24"/>
          <w:szCs w:val="24"/>
          <w:lang w:eastAsia="hr-HR"/>
        </w:rPr>
        <w:t>Komercijalne baze podataka</w:t>
      </w:r>
    </w:p>
    <w:p w14:paraId="7E402916" w14:textId="4B4F8A9D" w:rsidR="004D4421" w:rsidRPr="004D4421" w:rsidRDefault="00152EC9" w:rsidP="000E4157">
      <w:pPr>
        <w:pStyle w:val="Naslov3"/>
      </w:pPr>
      <w:bookmarkStart w:id="12" w:name="_Toc153353419"/>
      <w:r>
        <w:lastRenderedPageBreak/>
        <w:t>2.1.</w:t>
      </w:r>
      <w:r>
        <w:tab/>
      </w:r>
      <w:r w:rsidR="004D4421" w:rsidRPr="004D4421">
        <w:t>Ključni pokazatelji o analitičko obavještajnom radu Ureda</w:t>
      </w:r>
      <w:bookmarkEnd w:id="12"/>
    </w:p>
    <w:p w14:paraId="7E753A55" w14:textId="77777777" w:rsidR="004D4421" w:rsidRDefault="004D4421" w:rsidP="004665E0">
      <w:pPr>
        <w:tabs>
          <w:tab w:val="left" w:pos="850"/>
          <w:tab w:val="left" w:pos="1191"/>
          <w:tab w:val="left" w:pos="1531"/>
        </w:tabs>
        <w:spacing w:after="0" w:line="240" w:lineRule="auto"/>
        <w:jc w:val="both"/>
        <w:rPr>
          <w:rFonts w:ascii="Times New Roman" w:eastAsia="Times New Roman" w:hAnsi="Times New Roman" w:cs="Times New Roman"/>
          <w:sz w:val="24"/>
          <w:szCs w:val="24"/>
        </w:rPr>
      </w:pPr>
    </w:p>
    <w:p w14:paraId="724BCD21" w14:textId="77777777" w:rsidR="004665E0" w:rsidRPr="004665E0" w:rsidRDefault="004665E0" w:rsidP="004665E0">
      <w:pPr>
        <w:tabs>
          <w:tab w:val="left" w:pos="850"/>
          <w:tab w:val="left" w:pos="1191"/>
          <w:tab w:val="left" w:pos="1531"/>
        </w:tabs>
        <w:spacing w:after="0" w:line="240" w:lineRule="auto"/>
        <w:jc w:val="both"/>
        <w:rPr>
          <w:rFonts w:ascii="Times New Roman" w:eastAsia="Times New Roman" w:hAnsi="Times New Roman" w:cs="Times New Roman"/>
          <w:sz w:val="24"/>
          <w:szCs w:val="24"/>
        </w:rPr>
      </w:pPr>
      <w:r w:rsidRPr="004665E0">
        <w:rPr>
          <w:rFonts w:ascii="Times New Roman" w:eastAsia="Times New Roman" w:hAnsi="Times New Roman" w:cs="Times New Roman"/>
          <w:sz w:val="24"/>
          <w:szCs w:val="24"/>
        </w:rPr>
        <w:t xml:space="preserve">Rezultati rada Ureda verificiraju se putem ključnih pokazatelja o radu Ureda (broj otvorenih predmeta, broj blokada sumnjivih transakcija i broj </w:t>
      </w:r>
      <w:r w:rsidR="00AE1F53">
        <w:rPr>
          <w:rFonts w:ascii="Times New Roman" w:eastAsia="Times New Roman" w:hAnsi="Times New Roman" w:cs="Times New Roman"/>
          <w:sz w:val="24"/>
          <w:szCs w:val="24"/>
        </w:rPr>
        <w:t>operativnih analiza transakcija-</w:t>
      </w:r>
      <w:r w:rsidRPr="004665E0">
        <w:rPr>
          <w:rFonts w:ascii="Times New Roman" w:eastAsia="Times New Roman" w:hAnsi="Times New Roman" w:cs="Times New Roman"/>
          <w:sz w:val="24"/>
          <w:szCs w:val="24"/>
        </w:rPr>
        <w:t xml:space="preserve">slučajeva predanih nadležnim tijelima na daljnje postupanje), a kako je prikazano u </w:t>
      </w:r>
      <w:r w:rsidRPr="004665E0">
        <w:rPr>
          <w:rFonts w:ascii="Times New Roman" w:eastAsia="Times New Roman" w:hAnsi="Times New Roman" w:cs="Times New Roman"/>
          <w:b/>
          <w:bCs/>
          <w:sz w:val="24"/>
          <w:szCs w:val="24"/>
        </w:rPr>
        <w:t xml:space="preserve">Tablici br. </w:t>
      </w:r>
      <w:r w:rsidR="005323C8">
        <w:rPr>
          <w:rFonts w:ascii="Times New Roman" w:eastAsia="Times New Roman" w:hAnsi="Times New Roman" w:cs="Times New Roman"/>
          <w:b/>
          <w:bCs/>
          <w:sz w:val="24"/>
          <w:szCs w:val="24"/>
        </w:rPr>
        <w:t>2</w:t>
      </w:r>
      <w:r w:rsidRPr="004665E0">
        <w:rPr>
          <w:rFonts w:ascii="Times New Roman" w:eastAsia="Times New Roman" w:hAnsi="Times New Roman" w:cs="Times New Roman"/>
          <w:sz w:val="24"/>
          <w:szCs w:val="24"/>
        </w:rPr>
        <w:t>.</w:t>
      </w:r>
    </w:p>
    <w:p w14:paraId="61096DBD" w14:textId="77777777" w:rsidR="004665E0" w:rsidRPr="004665E0" w:rsidRDefault="004665E0" w:rsidP="004665E0">
      <w:pPr>
        <w:spacing w:after="0" w:line="240" w:lineRule="auto"/>
        <w:jc w:val="both"/>
        <w:rPr>
          <w:rFonts w:ascii="Arial" w:eastAsia="Times New Roman" w:hAnsi="Arial" w:cs="Arial"/>
          <w:iCs/>
          <w:sz w:val="20"/>
          <w:szCs w:val="20"/>
          <w:lang w:eastAsia="hr-HR"/>
        </w:rPr>
      </w:pPr>
    </w:p>
    <w:p w14:paraId="41C3C427" w14:textId="77777777" w:rsidR="004665E0" w:rsidRPr="005F392D" w:rsidRDefault="004665E0" w:rsidP="004665E0">
      <w:pPr>
        <w:spacing w:after="120" w:line="240" w:lineRule="auto"/>
        <w:jc w:val="both"/>
        <w:rPr>
          <w:rFonts w:ascii="Times New Roman" w:eastAsia="Times New Roman" w:hAnsi="Times New Roman" w:cs="Times New Roman"/>
          <w:iCs/>
          <w:sz w:val="24"/>
          <w:szCs w:val="24"/>
          <w:u w:val="single"/>
          <w:lang w:eastAsia="hr-HR"/>
        </w:rPr>
      </w:pPr>
      <w:r w:rsidRPr="005F392D">
        <w:rPr>
          <w:rFonts w:ascii="Times New Roman" w:eastAsia="Times New Roman" w:hAnsi="Times New Roman" w:cs="Times New Roman"/>
          <w:iCs/>
          <w:sz w:val="24"/>
          <w:szCs w:val="24"/>
          <w:u w:val="single"/>
          <w:lang w:eastAsia="hr-HR"/>
        </w:rPr>
        <w:t xml:space="preserve">Tablica </w:t>
      </w:r>
      <w:r w:rsidR="005323C8" w:rsidRPr="005F392D">
        <w:rPr>
          <w:rFonts w:ascii="Times New Roman" w:eastAsia="Times New Roman" w:hAnsi="Times New Roman" w:cs="Times New Roman"/>
          <w:iCs/>
          <w:sz w:val="24"/>
          <w:szCs w:val="24"/>
          <w:u w:val="single"/>
          <w:lang w:eastAsia="hr-HR"/>
        </w:rPr>
        <w:t>2</w:t>
      </w:r>
      <w:r w:rsidRPr="005F392D">
        <w:rPr>
          <w:rFonts w:ascii="Times New Roman" w:eastAsia="Times New Roman" w:hAnsi="Times New Roman" w:cs="Times New Roman"/>
          <w:iCs/>
          <w:sz w:val="24"/>
          <w:szCs w:val="24"/>
          <w:u w:val="single"/>
          <w:lang w:eastAsia="hr-HR"/>
        </w:rPr>
        <w:t>.</w:t>
      </w:r>
    </w:p>
    <w:tbl>
      <w:tblPr>
        <w:tblW w:w="92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90"/>
        <w:gridCol w:w="5247"/>
        <w:gridCol w:w="1417"/>
        <w:gridCol w:w="1560"/>
      </w:tblGrid>
      <w:tr w:rsidR="00F66AD6" w:rsidRPr="00375117" w14:paraId="1E6E7374" w14:textId="77777777" w:rsidTr="00F66AD6">
        <w:trPr>
          <w:trHeight w:hRule="exact" w:val="497"/>
          <w:jc w:val="center"/>
        </w:trPr>
        <w:tc>
          <w:tcPr>
            <w:tcW w:w="6237" w:type="dxa"/>
            <w:gridSpan w:val="2"/>
            <w:shd w:val="clear" w:color="auto" w:fill="DEEAF6"/>
            <w:vAlign w:val="center"/>
          </w:tcPr>
          <w:p w14:paraId="0E48D381" w14:textId="77777777" w:rsidR="00F66AD6" w:rsidRPr="00375117" w:rsidRDefault="00F66AD6" w:rsidP="004665E0">
            <w:pPr>
              <w:spacing w:after="0" w:line="240" w:lineRule="auto"/>
              <w:rPr>
                <w:rFonts w:ascii="Times New Roman" w:eastAsia="Calibri" w:hAnsi="Times New Roman" w:cs="Times New Roman"/>
                <w:iCs/>
                <w:sz w:val="20"/>
                <w:szCs w:val="20"/>
              </w:rPr>
            </w:pPr>
            <w:r w:rsidRPr="00375117">
              <w:rPr>
                <w:rFonts w:ascii="Times New Roman" w:eastAsia="Calibri" w:hAnsi="Times New Roman" w:cs="Times New Roman"/>
                <w:b/>
                <w:iCs/>
                <w:sz w:val="20"/>
                <w:szCs w:val="20"/>
              </w:rPr>
              <w:t>KLJUČNI POKAZATELJI O RADU UREDA</w:t>
            </w:r>
          </w:p>
        </w:tc>
        <w:tc>
          <w:tcPr>
            <w:tcW w:w="1417" w:type="dxa"/>
            <w:shd w:val="clear" w:color="auto" w:fill="DEEAF6"/>
            <w:vAlign w:val="center"/>
          </w:tcPr>
          <w:p w14:paraId="32F0A6FF" w14:textId="244FD406" w:rsidR="00F66AD6" w:rsidRPr="00375117" w:rsidRDefault="00F66AD6" w:rsidP="00F66AD6">
            <w:pPr>
              <w:spacing w:after="0" w:line="240" w:lineRule="auto"/>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2021.</w:t>
            </w:r>
          </w:p>
        </w:tc>
        <w:tc>
          <w:tcPr>
            <w:tcW w:w="1560" w:type="dxa"/>
            <w:shd w:val="clear" w:color="auto" w:fill="DEEAF6"/>
            <w:vAlign w:val="center"/>
          </w:tcPr>
          <w:p w14:paraId="1AE6AC58" w14:textId="6903E0A8" w:rsidR="00F66AD6" w:rsidRPr="00375117" w:rsidRDefault="00F66AD6" w:rsidP="003D4A11">
            <w:pPr>
              <w:spacing w:after="0" w:line="240" w:lineRule="auto"/>
              <w:jc w:val="center"/>
              <w:rPr>
                <w:rFonts w:ascii="Times New Roman" w:eastAsia="Times New Roman" w:hAnsi="Times New Roman" w:cs="Times New Roman"/>
                <w:b/>
                <w:bCs/>
                <w:sz w:val="20"/>
                <w:szCs w:val="20"/>
                <w:lang w:eastAsia="hr-HR"/>
              </w:rPr>
            </w:pPr>
            <w:r>
              <w:rPr>
                <w:rFonts w:ascii="Times New Roman" w:eastAsia="Calibri" w:hAnsi="Times New Roman" w:cs="Times New Roman"/>
                <w:b/>
                <w:bCs/>
                <w:iCs/>
                <w:sz w:val="20"/>
                <w:szCs w:val="20"/>
              </w:rPr>
              <w:t>2022.</w:t>
            </w:r>
          </w:p>
        </w:tc>
      </w:tr>
      <w:tr w:rsidR="00F66AD6" w:rsidRPr="00375117" w14:paraId="1C73CEF8" w14:textId="77777777" w:rsidTr="00F66AD6">
        <w:trPr>
          <w:trHeight w:hRule="exact" w:val="542"/>
          <w:jc w:val="center"/>
        </w:trPr>
        <w:tc>
          <w:tcPr>
            <w:tcW w:w="6237" w:type="dxa"/>
            <w:gridSpan w:val="2"/>
            <w:shd w:val="clear" w:color="auto" w:fill="auto"/>
            <w:vAlign w:val="center"/>
          </w:tcPr>
          <w:p w14:paraId="0E4FE78F" w14:textId="77777777" w:rsidR="00F66AD6" w:rsidRPr="00375117" w:rsidRDefault="00F66AD6" w:rsidP="004665E0">
            <w:pPr>
              <w:spacing w:after="0" w:line="240" w:lineRule="auto"/>
              <w:rPr>
                <w:rFonts w:ascii="Times New Roman" w:eastAsia="Calibri" w:hAnsi="Times New Roman" w:cs="Times New Roman"/>
                <w:iCs/>
                <w:sz w:val="20"/>
                <w:szCs w:val="20"/>
              </w:rPr>
            </w:pPr>
            <w:r w:rsidRPr="00375117">
              <w:rPr>
                <w:rFonts w:ascii="Times New Roman" w:eastAsia="Calibri" w:hAnsi="Times New Roman" w:cs="Times New Roman"/>
                <w:iCs/>
                <w:sz w:val="20"/>
                <w:szCs w:val="20"/>
              </w:rPr>
              <w:t>Broj otvorenih predmeta sa sumnjom na pranje novca i financiranje terorizma</w:t>
            </w:r>
          </w:p>
        </w:tc>
        <w:tc>
          <w:tcPr>
            <w:tcW w:w="1417" w:type="dxa"/>
            <w:vAlign w:val="center"/>
          </w:tcPr>
          <w:p w14:paraId="14A33EF6" w14:textId="03C92158" w:rsidR="00F66AD6" w:rsidRPr="00375117" w:rsidRDefault="00FE4D71" w:rsidP="00F66AD6">
            <w:pPr>
              <w:spacing w:after="0" w:line="240" w:lineRule="auto"/>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488</w:t>
            </w:r>
          </w:p>
        </w:tc>
        <w:tc>
          <w:tcPr>
            <w:tcW w:w="1560" w:type="dxa"/>
            <w:shd w:val="clear" w:color="auto" w:fill="F2F2F2"/>
            <w:vAlign w:val="center"/>
          </w:tcPr>
          <w:p w14:paraId="2A731831" w14:textId="55435F13" w:rsidR="00F66AD6" w:rsidRPr="00375117" w:rsidRDefault="00F66AD6" w:rsidP="004665E0">
            <w:pPr>
              <w:spacing w:after="0" w:line="240" w:lineRule="auto"/>
              <w:jc w:val="center"/>
              <w:rPr>
                <w:rFonts w:ascii="Times New Roman" w:eastAsia="Calibri" w:hAnsi="Times New Roman" w:cs="Times New Roman"/>
                <w:b/>
                <w:bCs/>
                <w:iCs/>
                <w:sz w:val="20"/>
                <w:szCs w:val="20"/>
              </w:rPr>
            </w:pPr>
            <w:r w:rsidRPr="00375117">
              <w:rPr>
                <w:rFonts w:ascii="Times New Roman" w:eastAsia="Calibri" w:hAnsi="Times New Roman" w:cs="Times New Roman"/>
                <w:b/>
                <w:bCs/>
                <w:iCs/>
                <w:sz w:val="20"/>
                <w:szCs w:val="20"/>
              </w:rPr>
              <w:t>471</w:t>
            </w:r>
          </w:p>
        </w:tc>
      </w:tr>
      <w:tr w:rsidR="00F66AD6" w:rsidRPr="00375117" w14:paraId="1F05639F" w14:textId="77777777" w:rsidTr="00F66AD6">
        <w:trPr>
          <w:trHeight w:hRule="exact" w:val="569"/>
          <w:jc w:val="center"/>
        </w:trPr>
        <w:tc>
          <w:tcPr>
            <w:tcW w:w="6237" w:type="dxa"/>
            <w:gridSpan w:val="2"/>
            <w:shd w:val="clear" w:color="auto" w:fill="auto"/>
            <w:vAlign w:val="center"/>
          </w:tcPr>
          <w:p w14:paraId="21D7B84B" w14:textId="77777777" w:rsidR="00F66AD6" w:rsidRPr="00375117" w:rsidRDefault="00F66AD6" w:rsidP="001B16C4">
            <w:pPr>
              <w:spacing w:after="0" w:line="240" w:lineRule="auto"/>
              <w:rPr>
                <w:rFonts w:ascii="Times New Roman" w:eastAsia="Calibri" w:hAnsi="Times New Roman" w:cs="Times New Roman"/>
                <w:iCs/>
                <w:sz w:val="20"/>
                <w:szCs w:val="20"/>
              </w:rPr>
            </w:pPr>
            <w:r w:rsidRPr="00375117">
              <w:rPr>
                <w:rFonts w:ascii="Times New Roman" w:eastAsia="Calibri" w:hAnsi="Times New Roman" w:cs="Times New Roman"/>
                <w:iCs/>
                <w:sz w:val="20"/>
                <w:szCs w:val="20"/>
              </w:rPr>
              <w:t xml:space="preserve">Broj slučajeva dostavljenih nadležnim tijelima na daljnje postupanje i procesuiranje </w:t>
            </w:r>
          </w:p>
        </w:tc>
        <w:tc>
          <w:tcPr>
            <w:tcW w:w="1417" w:type="dxa"/>
            <w:vAlign w:val="center"/>
          </w:tcPr>
          <w:p w14:paraId="533DE59B" w14:textId="3C0C77A9" w:rsidR="00F66AD6" w:rsidRPr="00375117" w:rsidRDefault="00FE4D71" w:rsidP="00F66AD6">
            <w:pPr>
              <w:spacing w:after="0" w:line="240" w:lineRule="auto"/>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294</w:t>
            </w:r>
          </w:p>
        </w:tc>
        <w:tc>
          <w:tcPr>
            <w:tcW w:w="1560" w:type="dxa"/>
            <w:shd w:val="clear" w:color="auto" w:fill="F2F2F2"/>
            <w:vAlign w:val="center"/>
          </w:tcPr>
          <w:p w14:paraId="6BC5D190" w14:textId="21528862" w:rsidR="00F66AD6" w:rsidRPr="00375117" w:rsidRDefault="00FE4D71" w:rsidP="00AE1F53">
            <w:pPr>
              <w:spacing w:after="0" w:line="240" w:lineRule="auto"/>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250</w:t>
            </w:r>
          </w:p>
        </w:tc>
      </w:tr>
      <w:tr w:rsidR="00F66AD6" w:rsidRPr="00375117" w14:paraId="28BF7B3C" w14:textId="77777777" w:rsidTr="00FE4D71">
        <w:trPr>
          <w:trHeight w:hRule="exact" w:val="509"/>
          <w:jc w:val="center"/>
        </w:trPr>
        <w:tc>
          <w:tcPr>
            <w:tcW w:w="990" w:type="dxa"/>
            <w:vMerge w:val="restart"/>
            <w:shd w:val="clear" w:color="auto" w:fill="auto"/>
            <w:vAlign w:val="center"/>
          </w:tcPr>
          <w:p w14:paraId="2CCB8A3A" w14:textId="665D8687" w:rsidR="00F66AD6" w:rsidRPr="00375117" w:rsidRDefault="00F66AD6" w:rsidP="00F66AD6">
            <w:pPr>
              <w:spacing w:after="0" w:line="240" w:lineRule="auto"/>
              <w:jc w:val="center"/>
              <w:rPr>
                <w:rFonts w:ascii="Times New Roman" w:eastAsia="SimSun" w:hAnsi="Times New Roman" w:cs="Times New Roman"/>
                <w:sz w:val="20"/>
                <w:szCs w:val="20"/>
                <w:lang w:eastAsia="zh-CN"/>
              </w:rPr>
            </w:pPr>
            <w:r w:rsidRPr="00375117">
              <w:rPr>
                <w:rFonts w:ascii="Times New Roman" w:eastAsia="SimSun" w:hAnsi="Times New Roman" w:cs="Times New Roman"/>
                <w:sz w:val="20"/>
                <w:szCs w:val="20"/>
                <w:lang w:eastAsia="zh-CN"/>
              </w:rPr>
              <w:t xml:space="preserve">Vrsta </w:t>
            </w:r>
            <w:r>
              <w:rPr>
                <w:rFonts w:ascii="Times New Roman" w:eastAsia="SimSun" w:hAnsi="Times New Roman" w:cs="Times New Roman"/>
                <w:sz w:val="20"/>
                <w:szCs w:val="20"/>
                <w:lang w:eastAsia="zh-CN"/>
              </w:rPr>
              <w:t>slučajeva</w:t>
            </w:r>
            <w:r w:rsidRPr="00375117">
              <w:rPr>
                <w:rFonts w:ascii="Times New Roman" w:eastAsia="SimSun" w:hAnsi="Times New Roman" w:cs="Times New Roman"/>
                <w:sz w:val="20"/>
                <w:szCs w:val="20"/>
                <w:lang w:eastAsia="zh-CN"/>
              </w:rPr>
              <w:t xml:space="preserve"> </w:t>
            </w:r>
          </w:p>
        </w:tc>
        <w:tc>
          <w:tcPr>
            <w:tcW w:w="5247" w:type="dxa"/>
            <w:shd w:val="clear" w:color="auto" w:fill="auto"/>
            <w:vAlign w:val="center"/>
          </w:tcPr>
          <w:p w14:paraId="1782A725" w14:textId="77777777" w:rsidR="00F66AD6" w:rsidRPr="00375117" w:rsidRDefault="00F66AD6" w:rsidP="004665E0">
            <w:pPr>
              <w:spacing w:after="0" w:line="240" w:lineRule="auto"/>
              <w:rPr>
                <w:rFonts w:ascii="Times New Roman" w:eastAsia="SimSun" w:hAnsi="Times New Roman" w:cs="Times New Roman"/>
                <w:sz w:val="20"/>
                <w:szCs w:val="20"/>
                <w:lang w:eastAsia="zh-CN"/>
              </w:rPr>
            </w:pPr>
            <w:r w:rsidRPr="00375117">
              <w:rPr>
                <w:rFonts w:ascii="Times New Roman" w:eastAsia="SimSun" w:hAnsi="Times New Roman" w:cs="Times New Roman"/>
                <w:sz w:val="20"/>
                <w:szCs w:val="20"/>
                <w:lang w:eastAsia="zh-CN"/>
              </w:rPr>
              <w:t>Broj slučajeva sa sumnjom na pranje novca</w:t>
            </w:r>
          </w:p>
        </w:tc>
        <w:tc>
          <w:tcPr>
            <w:tcW w:w="1417" w:type="dxa"/>
            <w:vAlign w:val="center"/>
          </w:tcPr>
          <w:p w14:paraId="3A3A1B34" w14:textId="6BAE9117" w:rsidR="00F66AD6" w:rsidRPr="00F66AD6" w:rsidRDefault="00FE4D71" w:rsidP="00F66AD6">
            <w:pPr>
              <w:spacing w:after="0" w:line="240" w:lineRule="auto"/>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287</w:t>
            </w:r>
          </w:p>
        </w:tc>
        <w:tc>
          <w:tcPr>
            <w:tcW w:w="1560" w:type="dxa"/>
            <w:shd w:val="clear" w:color="auto" w:fill="F2F2F2"/>
            <w:vAlign w:val="center"/>
          </w:tcPr>
          <w:p w14:paraId="0A52E247" w14:textId="70DB944B" w:rsidR="00F66AD6" w:rsidRPr="00375117" w:rsidRDefault="00FE4D71" w:rsidP="00AE1F53">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244</w:t>
            </w:r>
          </w:p>
        </w:tc>
      </w:tr>
      <w:tr w:rsidR="00F66AD6" w:rsidRPr="00375117" w14:paraId="1FE26F1C" w14:textId="77777777" w:rsidTr="00FE4D71">
        <w:trPr>
          <w:trHeight w:hRule="exact" w:val="530"/>
          <w:jc w:val="center"/>
        </w:trPr>
        <w:tc>
          <w:tcPr>
            <w:tcW w:w="990" w:type="dxa"/>
            <w:vMerge/>
            <w:shd w:val="clear" w:color="auto" w:fill="auto"/>
            <w:vAlign w:val="center"/>
          </w:tcPr>
          <w:p w14:paraId="54E78489" w14:textId="77777777" w:rsidR="00F66AD6" w:rsidRPr="00375117" w:rsidRDefault="00F66AD6" w:rsidP="004665E0">
            <w:pPr>
              <w:spacing w:after="0" w:line="240" w:lineRule="auto"/>
              <w:rPr>
                <w:rFonts w:ascii="Times New Roman" w:eastAsia="SimSun" w:hAnsi="Times New Roman" w:cs="Times New Roman"/>
                <w:sz w:val="20"/>
                <w:szCs w:val="20"/>
                <w:lang w:eastAsia="zh-CN"/>
              </w:rPr>
            </w:pPr>
          </w:p>
        </w:tc>
        <w:tc>
          <w:tcPr>
            <w:tcW w:w="5247" w:type="dxa"/>
            <w:shd w:val="clear" w:color="auto" w:fill="auto"/>
            <w:vAlign w:val="center"/>
          </w:tcPr>
          <w:p w14:paraId="50D47082" w14:textId="77777777" w:rsidR="00F66AD6" w:rsidRPr="00375117" w:rsidRDefault="00F66AD6" w:rsidP="004665E0">
            <w:pPr>
              <w:spacing w:after="0" w:line="240" w:lineRule="auto"/>
              <w:rPr>
                <w:rFonts w:ascii="Times New Roman" w:eastAsia="SimSun" w:hAnsi="Times New Roman" w:cs="Times New Roman"/>
                <w:sz w:val="20"/>
                <w:szCs w:val="20"/>
                <w:lang w:eastAsia="zh-CN"/>
              </w:rPr>
            </w:pPr>
            <w:r w:rsidRPr="00375117">
              <w:rPr>
                <w:rFonts w:ascii="Times New Roman" w:eastAsia="SimSun" w:hAnsi="Times New Roman" w:cs="Times New Roman"/>
                <w:sz w:val="20"/>
                <w:szCs w:val="20"/>
                <w:lang w:eastAsia="zh-CN"/>
              </w:rPr>
              <w:t>Broj slučajeva sa sumnjom na financiranje terorizma</w:t>
            </w:r>
          </w:p>
        </w:tc>
        <w:tc>
          <w:tcPr>
            <w:tcW w:w="1417" w:type="dxa"/>
            <w:vAlign w:val="center"/>
          </w:tcPr>
          <w:p w14:paraId="421BFACC" w14:textId="73F34E92" w:rsidR="00F66AD6" w:rsidRPr="00F66AD6" w:rsidRDefault="00FE4D71" w:rsidP="00F66AD6">
            <w:pPr>
              <w:spacing w:after="0" w:line="240" w:lineRule="auto"/>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7</w:t>
            </w:r>
          </w:p>
        </w:tc>
        <w:tc>
          <w:tcPr>
            <w:tcW w:w="1560" w:type="dxa"/>
            <w:shd w:val="clear" w:color="auto" w:fill="F2F2F2"/>
            <w:vAlign w:val="center"/>
          </w:tcPr>
          <w:p w14:paraId="00ED04EB" w14:textId="62326365" w:rsidR="00F66AD6" w:rsidRPr="00375117" w:rsidRDefault="00F66AD6" w:rsidP="00AE1F53">
            <w:pPr>
              <w:spacing w:after="0" w:line="240" w:lineRule="auto"/>
              <w:jc w:val="center"/>
              <w:rPr>
                <w:rFonts w:ascii="Times New Roman" w:eastAsia="Times New Roman" w:hAnsi="Times New Roman" w:cs="Times New Roman"/>
                <w:b/>
                <w:bCs/>
                <w:sz w:val="20"/>
                <w:szCs w:val="20"/>
                <w:lang w:eastAsia="hr-HR"/>
              </w:rPr>
            </w:pPr>
            <w:r w:rsidRPr="00375117">
              <w:rPr>
                <w:rFonts w:ascii="Times New Roman" w:eastAsia="Times New Roman" w:hAnsi="Times New Roman" w:cs="Times New Roman"/>
                <w:b/>
                <w:bCs/>
                <w:sz w:val="20"/>
                <w:szCs w:val="20"/>
                <w:lang w:eastAsia="hr-HR"/>
              </w:rPr>
              <w:t xml:space="preserve">6 </w:t>
            </w:r>
          </w:p>
        </w:tc>
      </w:tr>
      <w:tr w:rsidR="00F66AD6" w:rsidRPr="00375117" w14:paraId="74D79CDD" w14:textId="77777777" w:rsidTr="00F66AD6">
        <w:trPr>
          <w:trHeight w:hRule="exact" w:val="638"/>
          <w:jc w:val="center"/>
        </w:trPr>
        <w:tc>
          <w:tcPr>
            <w:tcW w:w="6237" w:type="dxa"/>
            <w:gridSpan w:val="2"/>
            <w:shd w:val="clear" w:color="auto" w:fill="auto"/>
            <w:vAlign w:val="center"/>
          </w:tcPr>
          <w:p w14:paraId="11E0B8DB" w14:textId="77777777" w:rsidR="00F66AD6" w:rsidRPr="00375117" w:rsidRDefault="00F66AD6" w:rsidP="004665E0">
            <w:pPr>
              <w:spacing w:after="0" w:line="240" w:lineRule="auto"/>
              <w:rPr>
                <w:rFonts w:ascii="Times New Roman" w:eastAsia="Calibri" w:hAnsi="Times New Roman" w:cs="Times New Roman"/>
                <w:iCs/>
                <w:sz w:val="20"/>
                <w:szCs w:val="20"/>
              </w:rPr>
            </w:pPr>
            <w:r w:rsidRPr="00375117">
              <w:rPr>
                <w:rFonts w:ascii="Times New Roman" w:eastAsia="Calibri" w:hAnsi="Times New Roman" w:cs="Times New Roman"/>
                <w:iCs/>
                <w:sz w:val="20"/>
                <w:szCs w:val="20"/>
              </w:rPr>
              <w:t>Broj analiziranih i analitički obrađenih transakcija u slučajevima dostavljenim nadležnim tijelima</w:t>
            </w:r>
          </w:p>
        </w:tc>
        <w:tc>
          <w:tcPr>
            <w:tcW w:w="1417" w:type="dxa"/>
            <w:vAlign w:val="center"/>
          </w:tcPr>
          <w:p w14:paraId="03B84A0E" w14:textId="67A56613" w:rsidR="00F66AD6" w:rsidRPr="00F66AD6" w:rsidRDefault="00FE4D71" w:rsidP="00F66AD6">
            <w:pPr>
              <w:spacing w:after="0" w:line="240" w:lineRule="auto"/>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5475</w:t>
            </w:r>
          </w:p>
        </w:tc>
        <w:tc>
          <w:tcPr>
            <w:tcW w:w="1560" w:type="dxa"/>
            <w:shd w:val="clear" w:color="auto" w:fill="F2F2F2"/>
            <w:vAlign w:val="center"/>
          </w:tcPr>
          <w:p w14:paraId="752057DD" w14:textId="46714D89" w:rsidR="00F66AD6" w:rsidRPr="00375117" w:rsidRDefault="00F66AD6" w:rsidP="004665E0">
            <w:pPr>
              <w:spacing w:after="0" w:line="240" w:lineRule="auto"/>
              <w:jc w:val="center"/>
              <w:rPr>
                <w:rFonts w:ascii="Times New Roman" w:eastAsia="Calibri" w:hAnsi="Times New Roman" w:cs="Times New Roman"/>
                <w:b/>
                <w:iCs/>
                <w:sz w:val="20"/>
                <w:szCs w:val="20"/>
              </w:rPr>
            </w:pPr>
            <w:r w:rsidRPr="00375117">
              <w:rPr>
                <w:rFonts w:ascii="Times New Roman" w:eastAsia="Calibri" w:hAnsi="Times New Roman" w:cs="Times New Roman"/>
                <w:b/>
                <w:iCs/>
                <w:sz w:val="20"/>
                <w:szCs w:val="20"/>
              </w:rPr>
              <w:t>3392</w:t>
            </w:r>
          </w:p>
        </w:tc>
      </w:tr>
      <w:tr w:rsidR="00F66AD6" w:rsidRPr="00375117" w14:paraId="67BE1F58" w14:textId="77777777" w:rsidTr="00F66AD6">
        <w:trPr>
          <w:trHeight w:hRule="exact" w:val="660"/>
          <w:jc w:val="center"/>
        </w:trPr>
        <w:tc>
          <w:tcPr>
            <w:tcW w:w="6237" w:type="dxa"/>
            <w:gridSpan w:val="2"/>
            <w:shd w:val="clear" w:color="auto" w:fill="auto"/>
            <w:vAlign w:val="center"/>
          </w:tcPr>
          <w:p w14:paraId="0EA9B390" w14:textId="77777777" w:rsidR="00F66AD6" w:rsidRPr="00375117" w:rsidRDefault="00F66AD6" w:rsidP="004665E0">
            <w:pPr>
              <w:spacing w:after="0" w:line="240" w:lineRule="auto"/>
              <w:rPr>
                <w:rFonts w:ascii="Times New Roman" w:eastAsia="Calibri" w:hAnsi="Times New Roman" w:cs="Times New Roman"/>
                <w:iCs/>
                <w:sz w:val="20"/>
                <w:szCs w:val="20"/>
              </w:rPr>
            </w:pPr>
            <w:r w:rsidRPr="00375117">
              <w:rPr>
                <w:rFonts w:ascii="Times New Roman" w:eastAsia="Calibri" w:hAnsi="Times New Roman" w:cs="Times New Roman"/>
                <w:iCs/>
                <w:sz w:val="20"/>
                <w:szCs w:val="20"/>
              </w:rPr>
              <w:t>Broj sudionika fizičkih i pravnih osoba u analiziranim transakcijama u slučajevima dostavljenim nadležnim tijelima</w:t>
            </w:r>
          </w:p>
        </w:tc>
        <w:tc>
          <w:tcPr>
            <w:tcW w:w="1417" w:type="dxa"/>
            <w:vAlign w:val="center"/>
          </w:tcPr>
          <w:p w14:paraId="50137385" w14:textId="4C3359ED" w:rsidR="00F66AD6" w:rsidRPr="00F66AD6" w:rsidRDefault="00FE4D71" w:rsidP="00F66AD6">
            <w:pPr>
              <w:spacing w:after="0" w:line="240" w:lineRule="auto"/>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1180</w:t>
            </w:r>
          </w:p>
        </w:tc>
        <w:tc>
          <w:tcPr>
            <w:tcW w:w="1560" w:type="dxa"/>
            <w:shd w:val="clear" w:color="auto" w:fill="F2F2F2"/>
            <w:vAlign w:val="center"/>
          </w:tcPr>
          <w:p w14:paraId="1F5A56BC" w14:textId="4FFDA0ED" w:rsidR="00F66AD6" w:rsidRPr="00375117" w:rsidRDefault="00F66AD6" w:rsidP="004665E0">
            <w:pPr>
              <w:spacing w:after="0" w:line="240" w:lineRule="auto"/>
              <w:jc w:val="center"/>
              <w:rPr>
                <w:rFonts w:ascii="Times New Roman" w:eastAsia="Calibri" w:hAnsi="Times New Roman" w:cs="Times New Roman"/>
                <w:b/>
                <w:iCs/>
                <w:sz w:val="20"/>
                <w:szCs w:val="20"/>
              </w:rPr>
            </w:pPr>
            <w:r w:rsidRPr="00375117">
              <w:rPr>
                <w:rFonts w:ascii="Times New Roman" w:eastAsia="Calibri" w:hAnsi="Times New Roman" w:cs="Times New Roman"/>
                <w:b/>
                <w:iCs/>
                <w:sz w:val="20"/>
                <w:szCs w:val="20"/>
              </w:rPr>
              <w:t>963</w:t>
            </w:r>
          </w:p>
        </w:tc>
      </w:tr>
      <w:tr w:rsidR="00F66AD6" w:rsidRPr="00375117" w14:paraId="7B9B14B9" w14:textId="77777777" w:rsidTr="00F66AD6">
        <w:trPr>
          <w:trHeight w:hRule="exact" w:val="523"/>
          <w:jc w:val="center"/>
        </w:trPr>
        <w:tc>
          <w:tcPr>
            <w:tcW w:w="6237" w:type="dxa"/>
            <w:gridSpan w:val="2"/>
            <w:shd w:val="clear" w:color="auto" w:fill="auto"/>
            <w:vAlign w:val="center"/>
          </w:tcPr>
          <w:p w14:paraId="03C563E4" w14:textId="77777777" w:rsidR="00F66AD6" w:rsidRPr="00375117" w:rsidRDefault="00F66AD6" w:rsidP="004665E0">
            <w:pPr>
              <w:spacing w:after="0" w:line="240" w:lineRule="auto"/>
              <w:rPr>
                <w:rFonts w:ascii="Times New Roman" w:eastAsia="Calibri" w:hAnsi="Times New Roman" w:cs="Times New Roman"/>
                <w:iCs/>
                <w:sz w:val="20"/>
                <w:szCs w:val="20"/>
              </w:rPr>
            </w:pPr>
            <w:r w:rsidRPr="00375117">
              <w:rPr>
                <w:rFonts w:ascii="Times New Roman" w:eastAsia="Calibri" w:hAnsi="Times New Roman" w:cs="Times New Roman"/>
                <w:iCs/>
                <w:sz w:val="20"/>
                <w:szCs w:val="20"/>
              </w:rPr>
              <w:t>Broj izdanih naloga bankama za stalno praćenje financijskog poslovanja stranke</w:t>
            </w:r>
          </w:p>
        </w:tc>
        <w:tc>
          <w:tcPr>
            <w:tcW w:w="1417" w:type="dxa"/>
            <w:vAlign w:val="center"/>
          </w:tcPr>
          <w:p w14:paraId="5EF11F82" w14:textId="7F0EBD3E" w:rsidR="00F66AD6" w:rsidRPr="00F66AD6" w:rsidRDefault="00FE4D71" w:rsidP="00F66AD6">
            <w:pPr>
              <w:spacing w:after="0" w:line="240" w:lineRule="auto"/>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38</w:t>
            </w:r>
          </w:p>
        </w:tc>
        <w:tc>
          <w:tcPr>
            <w:tcW w:w="1560" w:type="dxa"/>
            <w:shd w:val="clear" w:color="auto" w:fill="F2F2F2"/>
            <w:vAlign w:val="center"/>
          </w:tcPr>
          <w:p w14:paraId="4695CB0A" w14:textId="1543A3D7" w:rsidR="00F66AD6" w:rsidRPr="00375117" w:rsidRDefault="00F66AD6" w:rsidP="004665E0">
            <w:pPr>
              <w:spacing w:after="0" w:line="240" w:lineRule="auto"/>
              <w:jc w:val="center"/>
              <w:rPr>
                <w:rFonts w:ascii="Times New Roman" w:eastAsia="Calibri" w:hAnsi="Times New Roman" w:cs="Times New Roman"/>
                <w:b/>
                <w:iCs/>
                <w:sz w:val="20"/>
                <w:szCs w:val="20"/>
              </w:rPr>
            </w:pPr>
            <w:r w:rsidRPr="00375117">
              <w:rPr>
                <w:rFonts w:ascii="Times New Roman" w:eastAsia="Calibri" w:hAnsi="Times New Roman" w:cs="Times New Roman"/>
                <w:b/>
                <w:iCs/>
                <w:sz w:val="20"/>
                <w:szCs w:val="20"/>
              </w:rPr>
              <w:t>43</w:t>
            </w:r>
          </w:p>
        </w:tc>
      </w:tr>
      <w:tr w:rsidR="00F66AD6" w:rsidRPr="00375117" w14:paraId="1E2693D4" w14:textId="77777777" w:rsidTr="00F66AD6">
        <w:trPr>
          <w:trHeight w:hRule="exact" w:val="677"/>
          <w:jc w:val="center"/>
        </w:trPr>
        <w:tc>
          <w:tcPr>
            <w:tcW w:w="623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776F219" w14:textId="77777777" w:rsidR="00F66AD6" w:rsidRPr="00375117" w:rsidRDefault="00F66AD6" w:rsidP="004665E0">
            <w:pPr>
              <w:spacing w:after="0" w:line="240" w:lineRule="auto"/>
              <w:rPr>
                <w:rFonts w:ascii="Times New Roman" w:eastAsia="Calibri" w:hAnsi="Times New Roman" w:cs="Times New Roman"/>
                <w:iCs/>
                <w:sz w:val="20"/>
                <w:szCs w:val="20"/>
              </w:rPr>
            </w:pPr>
            <w:r w:rsidRPr="00375117">
              <w:rPr>
                <w:rFonts w:ascii="Times New Roman" w:eastAsia="Calibri" w:hAnsi="Times New Roman" w:cs="Times New Roman"/>
                <w:iCs/>
                <w:sz w:val="20"/>
                <w:szCs w:val="20"/>
              </w:rPr>
              <w:t>Broj izdanih naloga bankama za privremenom odgodom obavljanja sumnjivih transakcija</w:t>
            </w:r>
          </w:p>
        </w:tc>
        <w:tc>
          <w:tcPr>
            <w:tcW w:w="1417" w:type="dxa"/>
            <w:tcBorders>
              <w:top w:val="single" w:sz="2" w:space="0" w:color="auto"/>
              <w:left w:val="single" w:sz="2" w:space="0" w:color="auto"/>
              <w:bottom w:val="single" w:sz="2" w:space="0" w:color="auto"/>
              <w:right w:val="single" w:sz="2" w:space="0" w:color="auto"/>
            </w:tcBorders>
            <w:vAlign w:val="center"/>
          </w:tcPr>
          <w:p w14:paraId="7494BF58" w14:textId="51350DC4" w:rsidR="00F66AD6" w:rsidRPr="00F66AD6" w:rsidRDefault="00FE4D71" w:rsidP="00F66AD6">
            <w:pPr>
              <w:spacing w:after="0" w:line="240" w:lineRule="auto"/>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50</w:t>
            </w:r>
          </w:p>
        </w:tc>
        <w:tc>
          <w:tcPr>
            <w:tcW w:w="1560" w:type="dxa"/>
            <w:tcBorders>
              <w:top w:val="single" w:sz="2" w:space="0" w:color="auto"/>
              <w:left w:val="single" w:sz="2" w:space="0" w:color="auto"/>
              <w:bottom w:val="single" w:sz="2" w:space="0" w:color="auto"/>
              <w:right w:val="single" w:sz="2" w:space="0" w:color="auto"/>
            </w:tcBorders>
            <w:shd w:val="clear" w:color="auto" w:fill="F2F2F2"/>
            <w:vAlign w:val="center"/>
          </w:tcPr>
          <w:p w14:paraId="79326A57" w14:textId="6352A51A" w:rsidR="00F66AD6" w:rsidRPr="00375117" w:rsidRDefault="00F66AD6" w:rsidP="004665E0">
            <w:pPr>
              <w:spacing w:after="0" w:line="240" w:lineRule="auto"/>
              <w:jc w:val="center"/>
              <w:rPr>
                <w:rFonts w:ascii="Times New Roman" w:eastAsia="Calibri" w:hAnsi="Times New Roman" w:cs="Times New Roman"/>
                <w:b/>
                <w:bCs/>
                <w:sz w:val="20"/>
                <w:szCs w:val="20"/>
              </w:rPr>
            </w:pPr>
            <w:r w:rsidRPr="00375117">
              <w:rPr>
                <w:rFonts w:ascii="Times New Roman" w:eastAsia="Calibri" w:hAnsi="Times New Roman" w:cs="Times New Roman"/>
                <w:b/>
                <w:bCs/>
                <w:sz w:val="20"/>
                <w:szCs w:val="20"/>
              </w:rPr>
              <w:t>56</w:t>
            </w:r>
          </w:p>
        </w:tc>
      </w:tr>
      <w:tr w:rsidR="00F66AD6" w:rsidRPr="00375117" w14:paraId="3737081F" w14:textId="77777777" w:rsidTr="00F66AD6">
        <w:trPr>
          <w:trHeight w:hRule="exact" w:val="677"/>
          <w:jc w:val="center"/>
        </w:trPr>
        <w:tc>
          <w:tcPr>
            <w:tcW w:w="6237" w:type="dxa"/>
            <w:gridSpan w:val="2"/>
            <w:shd w:val="clear" w:color="auto" w:fill="auto"/>
            <w:vAlign w:val="center"/>
          </w:tcPr>
          <w:p w14:paraId="4901E82F" w14:textId="77777777" w:rsidR="00F66AD6" w:rsidRPr="00375117" w:rsidRDefault="00F66AD6" w:rsidP="004665E0">
            <w:pPr>
              <w:spacing w:after="0" w:line="240" w:lineRule="auto"/>
              <w:rPr>
                <w:rFonts w:ascii="Times New Roman" w:eastAsia="Calibri" w:hAnsi="Times New Roman" w:cs="Times New Roman"/>
                <w:iCs/>
                <w:sz w:val="20"/>
                <w:szCs w:val="20"/>
              </w:rPr>
            </w:pPr>
            <w:r w:rsidRPr="00375117">
              <w:rPr>
                <w:rFonts w:ascii="Times New Roman" w:eastAsia="Calibri" w:hAnsi="Times New Roman" w:cs="Times New Roman"/>
                <w:iCs/>
                <w:sz w:val="20"/>
                <w:szCs w:val="20"/>
              </w:rPr>
              <w:t>Ukupna vrijednost sumnjivih transakcija čije je obavljanje privremeno odgođeno po nalogu Ureda</w:t>
            </w:r>
          </w:p>
        </w:tc>
        <w:tc>
          <w:tcPr>
            <w:tcW w:w="1417" w:type="dxa"/>
            <w:vAlign w:val="center"/>
          </w:tcPr>
          <w:p w14:paraId="2D78FF4A" w14:textId="2E5F7B7A" w:rsidR="00F66AD6" w:rsidRPr="00F66AD6" w:rsidRDefault="00FE4D71" w:rsidP="00F66AD6">
            <w:pPr>
              <w:spacing w:after="0" w:line="240" w:lineRule="auto"/>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4.411.199,71 EUR</w:t>
            </w:r>
          </w:p>
        </w:tc>
        <w:tc>
          <w:tcPr>
            <w:tcW w:w="1560" w:type="dxa"/>
            <w:shd w:val="clear" w:color="auto" w:fill="F2F2F2"/>
            <w:vAlign w:val="center"/>
          </w:tcPr>
          <w:p w14:paraId="69352771" w14:textId="097D7833" w:rsidR="00F66AD6" w:rsidRPr="00375117" w:rsidRDefault="00F66AD6" w:rsidP="004665E0">
            <w:pPr>
              <w:spacing w:after="0" w:line="240" w:lineRule="auto"/>
              <w:jc w:val="center"/>
              <w:rPr>
                <w:rFonts w:ascii="Times New Roman" w:eastAsia="Calibri" w:hAnsi="Times New Roman" w:cs="Times New Roman"/>
                <w:b/>
                <w:iCs/>
                <w:sz w:val="20"/>
                <w:szCs w:val="20"/>
              </w:rPr>
            </w:pPr>
            <w:r w:rsidRPr="00375117">
              <w:rPr>
                <w:rFonts w:ascii="Times New Roman" w:eastAsia="Times New Roman" w:hAnsi="Times New Roman" w:cs="Times New Roman"/>
                <w:b/>
                <w:sz w:val="20"/>
                <w:szCs w:val="20"/>
                <w:lang w:eastAsia="hr-HR"/>
              </w:rPr>
              <w:t>110.406.372,73 EUR</w:t>
            </w:r>
          </w:p>
        </w:tc>
      </w:tr>
    </w:tbl>
    <w:p w14:paraId="553F6095" w14:textId="77777777" w:rsidR="00953DBA" w:rsidRDefault="00953DBA" w:rsidP="00953DBA">
      <w:pPr>
        <w:spacing w:after="0" w:line="240" w:lineRule="auto"/>
        <w:jc w:val="both"/>
        <w:rPr>
          <w:rFonts w:ascii="Times New Roman" w:eastAsia="Calibri" w:hAnsi="Times New Roman" w:cs="Times New Roman"/>
          <w:b/>
          <w:iCs/>
          <w:sz w:val="24"/>
          <w:szCs w:val="24"/>
          <w:lang w:eastAsia="hr-HR"/>
        </w:rPr>
      </w:pPr>
    </w:p>
    <w:p w14:paraId="0832B5CE" w14:textId="5943A8F8" w:rsidR="00CD4C57" w:rsidRDefault="00B303F4" w:rsidP="00CD4C57">
      <w:pPr>
        <w:spacing w:after="0" w:line="240" w:lineRule="auto"/>
        <w:jc w:val="both"/>
        <w:rPr>
          <w:rFonts w:ascii="Times New Roman" w:eastAsia="Times New Roman" w:hAnsi="Times New Roman" w:cs="Times New Roman"/>
          <w:iCs/>
          <w:sz w:val="24"/>
          <w:szCs w:val="24"/>
          <w:lang w:eastAsia="hr-HR"/>
        </w:rPr>
      </w:pPr>
      <w:r w:rsidRPr="00B303F4">
        <w:rPr>
          <w:rFonts w:ascii="Times New Roman" w:eastAsia="Times New Roman" w:hAnsi="Times New Roman" w:cs="Times New Roman"/>
          <w:b/>
          <w:iCs/>
          <w:color w:val="231F20"/>
          <w:sz w:val="24"/>
          <w:szCs w:val="24"/>
          <w:lang w:eastAsia="hr-HR"/>
        </w:rPr>
        <w:t>Obavještavanje</w:t>
      </w:r>
      <w:r w:rsidRPr="00B303F4">
        <w:rPr>
          <w:rFonts w:ascii="Times New Roman" w:eastAsia="Times New Roman" w:hAnsi="Times New Roman" w:cs="Times New Roman"/>
          <w:b/>
          <w:iCs/>
          <w:sz w:val="24"/>
          <w:szCs w:val="24"/>
          <w:lang w:eastAsia="hr-HR"/>
        </w:rPr>
        <w:t xml:space="preserve"> Ureda o sumnji na pranje novca ili financiranje terorizma u 2022.</w:t>
      </w:r>
      <w:r w:rsidR="003656CA">
        <w:rPr>
          <w:rFonts w:ascii="Times New Roman" w:eastAsia="Times New Roman" w:hAnsi="Times New Roman" w:cs="Times New Roman"/>
          <w:iCs/>
          <w:sz w:val="24"/>
          <w:szCs w:val="24"/>
          <w:lang w:eastAsia="hr-HR"/>
        </w:rPr>
        <w:t xml:space="preserve"> </w:t>
      </w:r>
    </w:p>
    <w:p w14:paraId="1C754D9F" w14:textId="77777777" w:rsidR="00CD4C57" w:rsidRDefault="00CD4C57" w:rsidP="00CD4C57">
      <w:pPr>
        <w:spacing w:after="0"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Ured o sumnji na pranje novca ili </w:t>
      </w:r>
      <w:r w:rsidR="0078781B">
        <w:rPr>
          <w:rFonts w:ascii="Times New Roman" w:eastAsia="Times New Roman" w:hAnsi="Times New Roman" w:cs="Times New Roman"/>
          <w:iCs/>
          <w:sz w:val="24"/>
          <w:szCs w:val="24"/>
          <w:lang w:eastAsia="hr-HR"/>
        </w:rPr>
        <w:t xml:space="preserve">financiranje </w:t>
      </w:r>
      <w:r>
        <w:rPr>
          <w:rFonts w:ascii="Times New Roman" w:eastAsia="Times New Roman" w:hAnsi="Times New Roman" w:cs="Times New Roman"/>
          <w:iCs/>
          <w:sz w:val="24"/>
          <w:szCs w:val="24"/>
          <w:lang w:eastAsia="hr-HR"/>
        </w:rPr>
        <w:t>terorizma obavještavaju:</w:t>
      </w:r>
    </w:p>
    <w:p w14:paraId="5B2F7F90" w14:textId="2A54B6AB" w:rsidR="00CD4C57" w:rsidRPr="00CD4C57" w:rsidRDefault="005C362A" w:rsidP="00BD4933">
      <w:pPr>
        <w:pStyle w:val="Odlomakpopisa"/>
        <w:numPr>
          <w:ilvl w:val="0"/>
          <w:numId w:val="18"/>
        </w:numPr>
        <w:jc w:val="both"/>
        <w:rPr>
          <w:rFonts w:ascii="Times New Roman" w:eastAsia="Times New Roman" w:hAnsi="Times New Roman"/>
          <w:b w:val="0"/>
          <w:bCs/>
          <w:iCs/>
          <w:sz w:val="24"/>
          <w:szCs w:val="24"/>
          <w:lang w:eastAsia="hr-HR"/>
        </w:rPr>
      </w:pPr>
      <w:r>
        <w:rPr>
          <w:rFonts w:ascii="Times New Roman" w:eastAsia="Times New Roman" w:hAnsi="Times New Roman"/>
          <w:b w:val="0"/>
          <w:bCs/>
          <w:iCs/>
          <w:sz w:val="24"/>
          <w:szCs w:val="24"/>
          <w:lang w:eastAsia="hr-HR"/>
        </w:rPr>
        <w:t xml:space="preserve">banke i drugi obveznici iz </w:t>
      </w:r>
      <w:r w:rsidR="00CD4C57" w:rsidRPr="00CD4C57">
        <w:rPr>
          <w:rFonts w:ascii="Times New Roman" w:eastAsia="Times New Roman" w:hAnsi="Times New Roman"/>
          <w:b w:val="0"/>
          <w:bCs/>
          <w:iCs/>
          <w:sz w:val="24"/>
          <w:szCs w:val="24"/>
          <w:lang w:eastAsia="hr-HR"/>
        </w:rPr>
        <w:t>čl. 9</w:t>
      </w:r>
      <w:r w:rsidR="00CD4C57">
        <w:rPr>
          <w:rFonts w:ascii="Times New Roman" w:eastAsia="Times New Roman" w:hAnsi="Times New Roman"/>
          <w:b w:val="0"/>
          <w:bCs/>
          <w:iCs/>
          <w:sz w:val="24"/>
          <w:szCs w:val="24"/>
          <w:lang w:eastAsia="hr-HR"/>
        </w:rPr>
        <w:t>.</w:t>
      </w:r>
      <w:r w:rsidR="00CD4C57" w:rsidRPr="00CD4C57">
        <w:rPr>
          <w:rFonts w:ascii="Times New Roman" w:eastAsia="Times New Roman" w:hAnsi="Times New Roman"/>
          <w:b w:val="0"/>
          <w:bCs/>
          <w:iCs/>
          <w:sz w:val="24"/>
          <w:szCs w:val="24"/>
          <w:lang w:eastAsia="hr-HR"/>
        </w:rPr>
        <w:t xml:space="preserve"> Zakona</w:t>
      </w:r>
    </w:p>
    <w:p w14:paraId="483D96FF" w14:textId="77777777" w:rsidR="00CD4C57" w:rsidRPr="00CD4C57" w:rsidRDefault="00CD4C57" w:rsidP="00BD4933">
      <w:pPr>
        <w:pStyle w:val="Odlomakpopisa"/>
        <w:numPr>
          <w:ilvl w:val="0"/>
          <w:numId w:val="18"/>
        </w:numPr>
        <w:jc w:val="both"/>
        <w:rPr>
          <w:rFonts w:ascii="Times New Roman" w:eastAsia="Times New Roman" w:hAnsi="Times New Roman"/>
          <w:b w:val="0"/>
          <w:bCs/>
          <w:iCs/>
          <w:sz w:val="24"/>
          <w:szCs w:val="24"/>
          <w:lang w:eastAsia="hr-HR"/>
        </w:rPr>
      </w:pPr>
      <w:r w:rsidRPr="00CD4C57">
        <w:rPr>
          <w:rFonts w:ascii="Times New Roman" w:eastAsia="Times New Roman" w:hAnsi="Times New Roman"/>
          <w:b w:val="0"/>
          <w:bCs/>
          <w:iCs/>
          <w:sz w:val="24"/>
          <w:szCs w:val="24"/>
          <w:lang w:eastAsia="hr-HR"/>
        </w:rPr>
        <w:t xml:space="preserve">nadležna državna tijela </w:t>
      </w:r>
    </w:p>
    <w:p w14:paraId="7DD68CC0" w14:textId="264305D6" w:rsidR="00CD4C57" w:rsidRPr="00CD4C57" w:rsidRDefault="00CD4C57" w:rsidP="00BD4933">
      <w:pPr>
        <w:pStyle w:val="Odlomakpopisa"/>
        <w:numPr>
          <w:ilvl w:val="0"/>
          <w:numId w:val="18"/>
        </w:numPr>
        <w:jc w:val="both"/>
        <w:rPr>
          <w:rFonts w:ascii="Times New Roman" w:eastAsia="Times New Roman" w:hAnsi="Times New Roman"/>
          <w:b w:val="0"/>
          <w:iCs/>
          <w:sz w:val="24"/>
          <w:szCs w:val="24"/>
          <w:lang w:eastAsia="hr-HR"/>
        </w:rPr>
      </w:pPr>
      <w:r w:rsidRPr="00CD4C57">
        <w:rPr>
          <w:rFonts w:ascii="Times New Roman" w:eastAsia="Times New Roman" w:hAnsi="Times New Roman"/>
          <w:b w:val="0"/>
          <w:bCs/>
          <w:iCs/>
          <w:sz w:val="24"/>
          <w:szCs w:val="24"/>
          <w:lang w:eastAsia="hr-HR"/>
        </w:rPr>
        <w:t>inozemne financijsko</w:t>
      </w:r>
      <w:r w:rsidR="00D34811">
        <w:rPr>
          <w:rFonts w:ascii="Times New Roman" w:eastAsia="Times New Roman" w:hAnsi="Times New Roman"/>
          <w:b w:val="0"/>
          <w:bCs/>
          <w:iCs/>
          <w:sz w:val="24"/>
          <w:szCs w:val="24"/>
          <w:lang w:eastAsia="hr-HR"/>
        </w:rPr>
        <w:t>-</w:t>
      </w:r>
      <w:r>
        <w:rPr>
          <w:rFonts w:ascii="Times New Roman" w:eastAsia="Times New Roman" w:hAnsi="Times New Roman"/>
          <w:b w:val="0"/>
          <w:bCs/>
          <w:iCs/>
          <w:sz w:val="24"/>
          <w:szCs w:val="24"/>
          <w:lang w:eastAsia="hr-HR"/>
        </w:rPr>
        <w:t xml:space="preserve">obavještajne </w:t>
      </w:r>
      <w:r w:rsidRPr="00CD4C57">
        <w:rPr>
          <w:rFonts w:ascii="Times New Roman" w:eastAsia="Times New Roman" w:hAnsi="Times New Roman"/>
          <w:b w:val="0"/>
          <w:bCs/>
          <w:iCs/>
          <w:sz w:val="24"/>
          <w:szCs w:val="24"/>
          <w:lang w:eastAsia="hr-HR"/>
        </w:rPr>
        <w:t xml:space="preserve">jedinice </w:t>
      </w:r>
    </w:p>
    <w:p w14:paraId="2AE292F8" w14:textId="55091690" w:rsidR="005C362A" w:rsidRDefault="005C362A">
      <w:pPr>
        <w:rPr>
          <w:rFonts w:ascii="Times New Roman" w:hAnsi="Times New Roman" w:cs="Times New Roman"/>
          <w:b/>
          <w:sz w:val="24"/>
          <w:szCs w:val="24"/>
          <w:u w:val="single"/>
          <w:lang w:eastAsia="hr-HR"/>
        </w:rPr>
      </w:pPr>
      <w:r>
        <w:rPr>
          <w:rFonts w:ascii="Times New Roman" w:hAnsi="Times New Roman" w:cs="Times New Roman"/>
          <w:b/>
          <w:sz w:val="24"/>
          <w:szCs w:val="24"/>
          <w:u w:val="single"/>
          <w:lang w:eastAsia="hr-HR"/>
        </w:rPr>
        <w:br w:type="page"/>
      </w:r>
    </w:p>
    <w:p w14:paraId="5D101ED7" w14:textId="66C3B46A" w:rsidR="00375117" w:rsidRDefault="008402DA" w:rsidP="008402DA">
      <w:pPr>
        <w:spacing w:after="0" w:line="240" w:lineRule="auto"/>
        <w:jc w:val="both"/>
        <w:rPr>
          <w:rFonts w:ascii="Times New Roman" w:eastAsia="Times New Roman" w:hAnsi="Times New Roman" w:cs="Times New Roman"/>
          <w:bCs/>
          <w:sz w:val="24"/>
          <w:szCs w:val="24"/>
          <w:u w:val="single"/>
        </w:rPr>
      </w:pPr>
      <w:r w:rsidRPr="004665E0">
        <w:rPr>
          <w:rFonts w:ascii="Times New Roman" w:eastAsia="Times New Roman" w:hAnsi="Times New Roman" w:cs="Times New Roman"/>
          <w:bCs/>
          <w:sz w:val="24"/>
          <w:szCs w:val="24"/>
          <w:u w:val="single"/>
        </w:rPr>
        <w:lastRenderedPageBreak/>
        <w:t xml:space="preserve">Tablica </w:t>
      </w:r>
      <w:r w:rsidR="005323C8">
        <w:rPr>
          <w:rFonts w:ascii="Times New Roman" w:eastAsia="Times New Roman" w:hAnsi="Times New Roman" w:cs="Times New Roman"/>
          <w:bCs/>
          <w:sz w:val="24"/>
          <w:szCs w:val="24"/>
          <w:u w:val="single"/>
        </w:rPr>
        <w:t>3</w:t>
      </w:r>
      <w:r w:rsidRPr="004665E0">
        <w:rPr>
          <w:rFonts w:ascii="Times New Roman" w:eastAsia="Times New Roman" w:hAnsi="Times New Roman" w:cs="Times New Roman"/>
          <w:bCs/>
          <w:sz w:val="24"/>
          <w:szCs w:val="24"/>
          <w:u w:val="single"/>
        </w:rPr>
        <w:t>. Broj zaprimljenih obavijesti o sumnjivim transakcijama, sredstvima i osobama po prijaviteljima u 202</w:t>
      </w:r>
      <w:r>
        <w:rPr>
          <w:rFonts w:ascii="Times New Roman" w:eastAsia="Times New Roman" w:hAnsi="Times New Roman" w:cs="Times New Roman"/>
          <w:bCs/>
          <w:sz w:val="24"/>
          <w:szCs w:val="24"/>
          <w:u w:val="single"/>
        </w:rPr>
        <w:t>1</w:t>
      </w:r>
      <w:r w:rsidRPr="004665E0">
        <w:rPr>
          <w:rFonts w:ascii="Times New Roman" w:eastAsia="Times New Roman" w:hAnsi="Times New Roman" w:cs="Times New Roman"/>
          <w:bCs/>
          <w:sz w:val="24"/>
          <w:szCs w:val="24"/>
          <w:u w:val="single"/>
        </w:rPr>
        <w:t>. i 202</w:t>
      </w:r>
      <w:r>
        <w:rPr>
          <w:rFonts w:ascii="Times New Roman" w:eastAsia="Times New Roman" w:hAnsi="Times New Roman" w:cs="Times New Roman"/>
          <w:bCs/>
          <w:sz w:val="24"/>
          <w:szCs w:val="24"/>
          <w:u w:val="single"/>
        </w:rPr>
        <w:t>2</w:t>
      </w:r>
      <w:r w:rsidRPr="004665E0">
        <w:rPr>
          <w:rFonts w:ascii="Times New Roman" w:eastAsia="Times New Roman" w:hAnsi="Times New Roman" w:cs="Times New Roman"/>
          <w:bCs/>
          <w:sz w:val="24"/>
          <w:szCs w:val="24"/>
          <w:u w:val="single"/>
        </w:rPr>
        <w:t xml:space="preserve">. </w:t>
      </w:r>
    </w:p>
    <w:tbl>
      <w:tblPr>
        <w:tblW w:w="8959" w:type="dxa"/>
        <w:tblInd w:w="108" w:type="dxa"/>
        <w:tblLook w:val="04A0" w:firstRow="1" w:lastRow="0" w:firstColumn="1" w:lastColumn="0" w:noHBand="0" w:noVBand="1"/>
      </w:tblPr>
      <w:tblGrid>
        <w:gridCol w:w="4849"/>
        <w:gridCol w:w="992"/>
        <w:gridCol w:w="992"/>
        <w:gridCol w:w="1134"/>
        <w:gridCol w:w="992"/>
      </w:tblGrid>
      <w:tr w:rsidR="008402DA" w:rsidRPr="004665E0" w14:paraId="79FC8089" w14:textId="77777777" w:rsidTr="005137AB">
        <w:trPr>
          <w:trHeight w:hRule="exact" w:val="300"/>
        </w:trPr>
        <w:tc>
          <w:tcPr>
            <w:tcW w:w="484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EAFA5FA"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sz w:val="20"/>
                <w:szCs w:val="20"/>
                <w:lang w:eastAsia="hr-HR"/>
              </w:rPr>
              <w:t>PRIJAVITELJI</w:t>
            </w:r>
          </w:p>
        </w:tc>
        <w:tc>
          <w:tcPr>
            <w:tcW w:w="1984" w:type="dxa"/>
            <w:gridSpan w:val="2"/>
            <w:tcBorders>
              <w:top w:val="single" w:sz="4" w:space="0" w:color="auto"/>
              <w:left w:val="nil"/>
              <w:bottom w:val="single" w:sz="4" w:space="0" w:color="auto"/>
              <w:right w:val="single" w:sz="4" w:space="0" w:color="auto"/>
            </w:tcBorders>
            <w:shd w:val="clear" w:color="000000" w:fill="DDEBF7"/>
            <w:vAlign w:val="center"/>
          </w:tcPr>
          <w:p w14:paraId="337F5418"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iCs/>
                <w:sz w:val="20"/>
                <w:szCs w:val="20"/>
                <w:lang w:eastAsia="hr-HR"/>
              </w:rPr>
              <w:t>202</w:t>
            </w:r>
            <w:r>
              <w:rPr>
                <w:rFonts w:ascii="Times New Roman" w:eastAsia="Times New Roman" w:hAnsi="Times New Roman" w:cs="Times New Roman"/>
                <w:b/>
                <w:bCs/>
                <w:iCs/>
                <w:sz w:val="20"/>
                <w:szCs w:val="20"/>
                <w:lang w:eastAsia="hr-HR"/>
              </w:rPr>
              <w:t>1</w:t>
            </w:r>
            <w:r w:rsidRPr="004665E0">
              <w:rPr>
                <w:rFonts w:ascii="Times New Roman" w:eastAsia="Times New Roman" w:hAnsi="Times New Roman" w:cs="Times New Roman"/>
                <w:b/>
                <w:bCs/>
                <w:iCs/>
                <w:sz w:val="20"/>
                <w:szCs w:val="20"/>
                <w:lang w:eastAsia="hr-HR"/>
              </w:rPr>
              <w:t>.</w:t>
            </w:r>
          </w:p>
        </w:tc>
        <w:tc>
          <w:tcPr>
            <w:tcW w:w="2126" w:type="dxa"/>
            <w:gridSpan w:val="2"/>
            <w:tcBorders>
              <w:top w:val="single" w:sz="4" w:space="0" w:color="auto"/>
              <w:left w:val="nil"/>
              <w:bottom w:val="single" w:sz="4" w:space="0" w:color="auto"/>
              <w:right w:val="single" w:sz="4" w:space="0" w:color="auto"/>
            </w:tcBorders>
            <w:shd w:val="clear" w:color="000000" w:fill="DDEBF7"/>
            <w:vAlign w:val="center"/>
            <w:hideMark/>
          </w:tcPr>
          <w:p w14:paraId="36C9E254"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iCs/>
                <w:sz w:val="20"/>
                <w:szCs w:val="20"/>
                <w:lang w:eastAsia="hr-HR"/>
              </w:rPr>
              <w:t>202</w:t>
            </w:r>
            <w:r>
              <w:rPr>
                <w:rFonts w:ascii="Times New Roman" w:eastAsia="Times New Roman" w:hAnsi="Times New Roman" w:cs="Times New Roman"/>
                <w:b/>
                <w:bCs/>
                <w:iCs/>
                <w:sz w:val="20"/>
                <w:szCs w:val="20"/>
                <w:lang w:eastAsia="hr-HR"/>
              </w:rPr>
              <w:t>2</w:t>
            </w:r>
            <w:r w:rsidRPr="004665E0">
              <w:rPr>
                <w:rFonts w:ascii="Times New Roman" w:eastAsia="Times New Roman" w:hAnsi="Times New Roman" w:cs="Times New Roman"/>
                <w:b/>
                <w:bCs/>
                <w:iCs/>
                <w:sz w:val="20"/>
                <w:szCs w:val="20"/>
                <w:lang w:eastAsia="hr-HR"/>
              </w:rPr>
              <w:t>.</w:t>
            </w:r>
          </w:p>
        </w:tc>
      </w:tr>
      <w:tr w:rsidR="008402DA" w:rsidRPr="004665E0" w14:paraId="362FFE45" w14:textId="77777777" w:rsidTr="005137AB">
        <w:trPr>
          <w:trHeight w:val="300"/>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66DC07AC" w14:textId="77777777" w:rsidR="008402DA" w:rsidRPr="004665E0" w:rsidRDefault="008402DA" w:rsidP="005137AB">
            <w:pPr>
              <w:spacing w:after="0" w:line="240" w:lineRule="auto"/>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sz w:val="20"/>
                <w:szCs w:val="20"/>
                <w:lang w:eastAsia="hr-HR"/>
              </w:rPr>
              <w:t>1. OBVEZNICI</w:t>
            </w:r>
          </w:p>
        </w:tc>
        <w:tc>
          <w:tcPr>
            <w:tcW w:w="992" w:type="dxa"/>
            <w:tcBorders>
              <w:top w:val="nil"/>
              <w:left w:val="nil"/>
              <w:bottom w:val="single" w:sz="4" w:space="0" w:color="auto"/>
              <w:right w:val="single" w:sz="4" w:space="0" w:color="auto"/>
            </w:tcBorders>
            <w:shd w:val="clear" w:color="000000" w:fill="DDEBF7"/>
            <w:vAlign w:val="center"/>
          </w:tcPr>
          <w:p w14:paraId="221F2DB9"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iCs/>
                <w:sz w:val="20"/>
                <w:szCs w:val="20"/>
                <w:lang w:eastAsia="hr-HR"/>
              </w:rPr>
              <w:t>PN</w:t>
            </w:r>
          </w:p>
        </w:tc>
        <w:tc>
          <w:tcPr>
            <w:tcW w:w="992" w:type="dxa"/>
            <w:tcBorders>
              <w:top w:val="nil"/>
              <w:left w:val="nil"/>
              <w:bottom w:val="single" w:sz="4" w:space="0" w:color="auto"/>
              <w:right w:val="single" w:sz="4" w:space="0" w:color="auto"/>
            </w:tcBorders>
            <w:shd w:val="clear" w:color="000000" w:fill="DDEBF7"/>
            <w:vAlign w:val="center"/>
          </w:tcPr>
          <w:p w14:paraId="2129DCB0"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iCs/>
                <w:sz w:val="20"/>
                <w:szCs w:val="20"/>
                <w:lang w:eastAsia="hr-HR"/>
              </w:rPr>
              <w:t>FT</w:t>
            </w:r>
          </w:p>
        </w:tc>
        <w:tc>
          <w:tcPr>
            <w:tcW w:w="1134" w:type="dxa"/>
            <w:tcBorders>
              <w:top w:val="nil"/>
              <w:left w:val="nil"/>
              <w:bottom w:val="single" w:sz="4" w:space="0" w:color="auto"/>
              <w:right w:val="single" w:sz="4" w:space="0" w:color="auto"/>
            </w:tcBorders>
            <w:shd w:val="clear" w:color="000000" w:fill="DDEBF7"/>
            <w:vAlign w:val="center"/>
            <w:hideMark/>
          </w:tcPr>
          <w:p w14:paraId="5E04148B"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iCs/>
                <w:sz w:val="20"/>
                <w:szCs w:val="20"/>
                <w:lang w:eastAsia="hr-HR"/>
              </w:rPr>
              <w:t>PN</w:t>
            </w:r>
          </w:p>
        </w:tc>
        <w:tc>
          <w:tcPr>
            <w:tcW w:w="992" w:type="dxa"/>
            <w:tcBorders>
              <w:top w:val="nil"/>
              <w:left w:val="nil"/>
              <w:bottom w:val="single" w:sz="4" w:space="0" w:color="auto"/>
              <w:right w:val="single" w:sz="4" w:space="0" w:color="auto"/>
            </w:tcBorders>
            <w:shd w:val="clear" w:color="000000" w:fill="DDEBF7"/>
            <w:vAlign w:val="center"/>
            <w:hideMark/>
          </w:tcPr>
          <w:p w14:paraId="5D94F2B5"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iCs/>
                <w:sz w:val="20"/>
                <w:szCs w:val="20"/>
                <w:lang w:eastAsia="hr-HR"/>
              </w:rPr>
              <w:t>FT</w:t>
            </w:r>
          </w:p>
        </w:tc>
      </w:tr>
      <w:tr w:rsidR="008402DA" w:rsidRPr="004665E0" w14:paraId="663EF913"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6A3A61D9" w14:textId="77777777" w:rsidR="008402DA" w:rsidRPr="004665E0" w:rsidRDefault="008402DA" w:rsidP="005137AB">
            <w:pPr>
              <w:spacing w:after="0" w:line="240" w:lineRule="auto"/>
              <w:rPr>
                <w:rFonts w:ascii="Times New Roman" w:eastAsia="Times New Roman" w:hAnsi="Times New Roman" w:cs="Times New Roman"/>
                <w:bCs/>
                <w:sz w:val="20"/>
                <w:szCs w:val="20"/>
                <w:lang w:eastAsia="hr-HR"/>
              </w:rPr>
            </w:pPr>
            <w:r w:rsidRPr="004665E0">
              <w:rPr>
                <w:rFonts w:ascii="Times New Roman" w:eastAsia="Times New Roman" w:hAnsi="Times New Roman" w:cs="Times New Roman"/>
                <w:bCs/>
                <w:iCs/>
                <w:sz w:val="20"/>
                <w:szCs w:val="20"/>
                <w:lang w:eastAsia="hr-HR"/>
              </w:rPr>
              <w:t>BANKE</w:t>
            </w:r>
          </w:p>
        </w:tc>
        <w:tc>
          <w:tcPr>
            <w:tcW w:w="992" w:type="dxa"/>
            <w:tcBorders>
              <w:top w:val="nil"/>
              <w:left w:val="nil"/>
              <w:bottom w:val="single" w:sz="4" w:space="0" w:color="auto"/>
              <w:right w:val="single" w:sz="4" w:space="0" w:color="auto"/>
            </w:tcBorders>
            <w:shd w:val="clear" w:color="000000" w:fill="F2F2F2"/>
            <w:vAlign w:val="center"/>
          </w:tcPr>
          <w:p w14:paraId="5CC8B84B"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sz w:val="20"/>
                <w:szCs w:val="20"/>
                <w:lang w:eastAsia="hr-HR"/>
              </w:rPr>
              <w:t>2881</w:t>
            </w:r>
          </w:p>
        </w:tc>
        <w:tc>
          <w:tcPr>
            <w:tcW w:w="992" w:type="dxa"/>
            <w:tcBorders>
              <w:top w:val="nil"/>
              <w:left w:val="nil"/>
              <w:bottom w:val="single" w:sz="4" w:space="0" w:color="auto"/>
              <w:right w:val="single" w:sz="4" w:space="0" w:color="auto"/>
            </w:tcBorders>
            <w:shd w:val="clear" w:color="000000" w:fill="F2F2F2"/>
            <w:vAlign w:val="center"/>
          </w:tcPr>
          <w:p w14:paraId="1B52F5C2"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sz w:val="20"/>
                <w:szCs w:val="20"/>
                <w:lang w:eastAsia="hr-HR"/>
              </w:rPr>
              <w:t>8</w:t>
            </w:r>
          </w:p>
        </w:tc>
        <w:tc>
          <w:tcPr>
            <w:tcW w:w="1134" w:type="dxa"/>
            <w:tcBorders>
              <w:top w:val="nil"/>
              <w:left w:val="nil"/>
              <w:bottom w:val="single" w:sz="4" w:space="0" w:color="auto"/>
              <w:right w:val="single" w:sz="4" w:space="0" w:color="auto"/>
            </w:tcBorders>
            <w:shd w:val="clear" w:color="000000" w:fill="F2F2F2"/>
            <w:vAlign w:val="center"/>
          </w:tcPr>
          <w:p w14:paraId="58AAC527"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2742</w:t>
            </w:r>
          </w:p>
        </w:tc>
        <w:tc>
          <w:tcPr>
            <w:tcW w:w="992" w:type="dxa"/>
            <w:tcBorders>
              <w:top w:val="nil"/>
              <w:left w:val="nil"/>
              <w:bottom w:val="single" w:sz="4" w:space="0" w:color="auto"/>
              <w:right w:val="single" w:sz="4" w:space="0" w:color="auto"/>
            </w:tcBorders>
            <w:shd w:val="clear" w:color="000000" w:fill="F2F2F2"/>
            <w:vAlign w:val="center"/>
          </w:tcPr>
          <w:p w14:paraId="2A5A536B"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w:t>
            </w:r>
          </w:p>
        </w:tc>
      </w:tr>
      <w:tr w:rsidR="008402DA" w:rsidRPr="004665E0" w14:paraId="376E38BB"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18E63981" w14:textId="77777777" w:rsidR="008402DA" w:rsidRPr="004665E0" w:rsidRDefault="008402DA" w:rsidP="005137AB">
            <w:pPr>
              <w:spacing w:after="0" w:line="240" w:lineRule="auto"/>
              <w:rPr>
                <w:rFonts w:ascii="Times New Roman" w:eastAsia="Times New Roman" w:hAnsi="Times New Roman" w:cs="Times New Roman"/>
                <w:bCs/>
                <w:sz w:val="20"/>
                <w:szCs w:val="20"/>
                <w:lang w:eastAsia="hr-HR"/>
              </w:rPr>
            </w:pPr>
            <w:r w:rsidRPr="004665E0">
              <w:rPr>
                <w:rFonts w:ascii="Times New Roman" w:eastAsia="Times New Roman" w:hAnsi="Times New Roman" w:cs="Times New Roman"/>
                <w:bCs/>
                <w:iCs/>
                <w:sz w:val="20"/>
                <w:szCs w:val="20"/>
                <w:lang w:eastAsia="hr-HR"/>
              </w:rPr>
              <w:t>STAMBENE ŠTEDIONICE</w:t>
            </w:r>
          </w:p>
        </w:tc>
        <w:tc>
          <w:tcPr>
            <w:tcW w:w="992" w:type="dxa"/>
            <w:tcBorders>
              <w:top w:val="nil"/>
              <w:left w:val="nil"/>
              <w:bottom w:val="single" w:sz="4" w:space="0" w:color="auto"/>
              <w:right w:val="single" w:sz="4" w:space="0" w:color="auto"/>
            </w:tcBorders>
            <w:shd w:val="clear" w:color="000000" w:fill="F2F2F2"/>
            <w:vAlign w:val="center"/>
          </w:tcPr>
          <w:p w14:paraId="5338B70B"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sz w:val="20"/>
                <w:szCs w:val="20"/>
                <w:lang w:eastAsia="hr-HR"/>
              </w:rPr>
              <w:t>2</w:t>
            </w:r>
          </w:p>
        </w:tc>
        <w:tc>
          <w:tcPr>
            <w:tcW w:w="992" w:type="dxa"/>
            <w:tcBorders>
              <w:top w:val="nil"/>
              <w:left w:val="nil"/>
              <w:bottom w:val="single" w:sz="4" w:space="0" w:color="auto"/>
              <w:right w:val="single" w:sz="4" w:space="0" w:color="auto"/>
            </w:tcBorders>
            <w:shd w:val="clear" w:color="000000" w:fill="F2F2F2"/>
            <w:vAlign w:val="center"/>
          </w:tcPr>
          <w:p w14:paraId="41D30F24"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58F8B25E"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w:t>
            </w:r>
          </w:p>
        </w:tc>
        <w:tc>
          <w:tcPr>
            <w:tcW w:w="992" w:type="dxa"/>
            <w:tcBorders>
              <w:top w:val="nil"/>
              <w:left w:val="nil"/>
              <w:bottom w:val="single" w:sz="4" w:space="0" w:color="auto"/>
              <w:right w:val="single" w:sz="4" w:space="0" w:color="auto"/>
            </w:tcBorders>
            <w:shd w:val="clear" w:color="000000" w:fill="F2F2F2"/>
            <w:vAlign w:val="center"/>
          </w:tcPr>
          <w:p w14:paraId="57DF9544"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r>
      <w:tr w:rsidR="008402DA" w:rsidRPr="004665E0" w14:paraId="1A715402" w14:textId="77777777" w:rsidTr="005137AB">
        <w:trPr>
          <w:trHeight w:hRule="exact" w:val="303"/>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1A832E69" w14:textId="77777777" w:rsidR="008402DA" w:rsidRPr="004665E0" w:rsidRDefault="008402DA" w:rsidP="005137AB">
            <w:pPr>
              <w:spacing w:after="0" w:line="240" w:lineRule="auto"/>
              <w:rPr>
                <w:rFonts w:ascii="Times New Roman" w:eastAsia="Times New Roman" w:hAnsi="Times New Roman" w:cs="Times New Roman"/>
                <w:bCs/>
                <w:sz w:val="20"/>
                <w:szCs w:val="20"/>
                <w:lang w:eastAsia="hr-HR"/>
              </w:rPr>
            </w:pPr>
            <w:r w:rsidRPr="004665E0">
              <w:rPr>
                <w:rFonts w:ascii="Times New Roman" w:eastAsia="Times New Roman" w:hAnsi="Times New Roman" w:cs="Times New Roman"/>
                <w:bCs/>
                <w:iCs/>
                <w:sz w:val="20"/>
                <w:szCs w:val="20"/>
                <w:lang w:eastAsia="hr-HR"/>
              </w:rPr>
              <w:t>PRUŽATELJI INVESTICIJSKIH USLUGA</w:t>
            </w:r>
          </w:p>
        </w:tc>
        <w:tc>
          <w:tcPr>
            <w:tcW w:w="992" w:type="dxa"/>
            <w:tcBorders>
              <w:top w:val="nil"/>
              <w:left w:val="nil"/>
              <w:bottom w:val="single" w:sz="4" w:space="0" w:color="auto"/>
              <w:right w:val="single" w:sz="4" w:space="0" w:color="auto"/>
            </w:tcBorders>
            <w:shd w:val="clear" w:color="000000" w:fill="F2F2F2"/>
            <w:vAlign w:val="center"/>
          </w:tcPr>
          <w:p w14:paraId="359828C5"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sz w:val="20"/>
                <w:szCs w:val="20"/>
                <w:lang w:eastAsia="hr-HR"/>
              </w:rPr>
              <w:t>14</w:t>
            </w:r>
          </w:p>
        </w:tc>
        <w:tc>
          <w:tcPr>
            <w:tcW w:w="992" w:type="dxa"/>
            <w:tcBorders>
              <w:top w:val="nil"/>
              <w:left w:val="nil"/>
              <w:bottom w:val="single" w:sz="4" w:space="0" w:color="auto"/>
              <w:right w:val="single" w:sz="4" w:space="0" w:color="auto"/>
            </w:tcBorders>
            <w:shd w:val="clear" w:color="000000" w:fill="F2F2F2"/>
            <w:vAlign w:val="center"/>
          </w:tcPr>
          <w:p w14:paraId="2960D101"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023ED920"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12</w:t>
            </w:r>
          </w:p>
        </w:tc>
        <w:tc>
          <w:tcPr>
            <w:tcW w:w="992" w:type="dxa"/>
            <w:tcBorders>
              <w:top w:val="nil"/>
              <w:left w:val="nil"/>
              <w:bottom w:val="single" w:sz="4" w:space="0" w:color="auto"/>
              <w:right w:val="single" w:sz="4" w:space="0" w:color="auto"/>
            </w:tcBorders>
            <w:shd w:val="clear" w:color="000000" w:fill="F2F2F2"/>
            <w:vAlign w:val="center"/>
          </w:tcPr>
          <w:p w14:paraId="401C5839"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r>
      <w:tr w:rsidR="008402DA" w:rsidRPr="004665E0" w14:paraId="727DE679" w14:textId="77777777" w:rsidTr="005137AB">
        <w:trPr>
          <w:trHeight w:hRule="exact" w:val="303"/>
        </w:trPr>
        <w:tc>
          <w:tcPr>
            <w:tcW w:w="4849" w:type="dxa"/>
            <w:tcBorders>
              <w:top w:val="nil"/>
              <w:left w:val="single" w:sz="4" w:space="0" w:color="auto"/>
              <w:bottom w:val="single" w:sz="4" w:space="0" w:color="auto"/>
              <w:right w:val="single" w:sz="4" w:space="0" w:color="auto"/>
            </w:tcBorders>
            <w:shd w:val="clear" w:color="000000" w:fill="DDEBF7"/>
            <w:vAlign w:val="center"/>
          </w:tcPr>
          <w:p w14:paraId="08B09E48" w14:textId="77777777" w:rsidR="008402DA" w:rsidRPr="004665E0" w:rsidRDefault="008402DA" w:rsidP="005137AB">
            <w:pPr>
              <w:spacing w:after="0" w:line="240" w:lineRule="auto"/>
              <w:rPr>
                <w:rFonts w:ascii="Times New Roman" w:eastAsia="Times New Roman" w:hAnsi="Times New Roman" w:cs="Times New Roman"/>
                <w:bCs/>
                <w:iCs/>
                <w:sz w:val="20"/>
                <w:szCs w:val="20"/>
                <w:lang w:eastAsia="hr-HR"/>
              </w:rPr>
            </w:pPr>
            <w:r>
              <w:rPr>
                <w:rFonts w:ascii="Times New Roman" w:eastAsia="Times New Roman" w:hAnsi="Times New Roman" w:cs="Times New Roman"/>
                <w:bCs/>
                <w:iCs/>
                <w:sz w:val="20"/>
                <w:szCs w:val="20"/>
                <w:lang w:eastAsia="hr-HR"/>
              </w:rPr>
              <w:t>MIROVINSKI FONDOVI</w:t>
            </w:r>
          </w:p>
        </w:tc>
        <w:tc>
          <w:tcPr>
            <w:tcW w:w="992" w:type="dxa"/>
            <w:tcBorders>
              <w:top w:val="nil"/>
              <w:left w:val="nil"/>
              <w:bottom w:val="single" w:sz="4" w:space="0" w:color="auto"/>
              <w:right w:val="single" w:sz="4" w:space="0" w:color="auto"/>
            </w:tcBorders>
            <w:shd w:val="clear" w:color="000000" w:fill="F2F2F2"/>
            <w:vAlign w:val="center"/>
          </w:tcPr>
          <w:p w14:paraId="7AB4E38E"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c>
          <w:tcPr>
            <w:tcW w:w="992" w:type="dxa"/>
            <w:tcBorders>
              <w:top w:val="nil"/>
              <w:left w:val="nil"/>
              <w:bottom w:val="single" w:sz="4" w:space="0" w:color="auto"/>
              <w:right w:val="single" w:sz="4" w:space="0" w:color="auto"/>
            </w:tcBorders>
            <w:shd w:val="clear" w:color="000000" w:fill="F2F2F2"/>
            <w:vAlign w:val="center"/>
          </w:tcPr>
          <w:p w14:paraId="088AAFA8"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4B817741" w14:textId="77777777" w:rsidR="008402DA" w:rsidRDefault="008402DA"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w:t>
            </w:r>
          </w:p>
        </w:tc>
        <w:tc>
          <w:tcPr>
            <w:tcW w:w="992" w:type="dxa"/>
            <w:tcBorders>
              <w:top w:val="nil"/>
              <w:left w:val="nil"/>
              <w:bottom w:val="single" w:sz="4" w:space="0" w:color="auto"/>
              <w:right w:val="single" w:sz="4" w:space="0" w:color="auto"/>
            </w:tcBorders>
            <w:shd w:val="clear" w:color="000000" w:fill="F2F2F2"/>
            <w:vAlign w:val="center"/>
          </w:tcPr>
          <w:p w14:paraId="40C8CD6F"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r>
      <w:tr w:rsidR="008402DA" w:rsidRPr="004665E0" w14:paraId="598589AE"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62FFB747" w14:textId="77777777" w:rsidR="008402DA" w:rsidRPr="004665E0" w:rsidRDefault="008402DA" w:rsidP="005137AB">
            <w:pPr>
              <w:spacing w:after="0" w:line="240" w:lineRule="auto"/>
              <w:rPr>
                <w:rFonts w:ascii="Times New Roman" w:eastAsia="Times New Roman" w:hAnsi="Times New Roman" w:cs="Times New Roman"/>
                <w:bCs/>
                <w:sz w:val="20"/>
                <w:szCs w:val="20"/>
                <w:lang w:eastAsia="hr-HR"/>
              </w:rPr>
            </w:pPr>
            <w:r w:rsidRPr="004665E0">
              <w:rPr>
                <w:rFonts w:ascii="Times New Roman" w:eastAsia="Times New Roman" w:hAnsi="Times New Roman" w:cs="Times New Roman"/>
                <w:bCs/>
                <w:iCs/>
                <w:sz w:val="20"/>
                <w:szCs w:val="20"/>
                <w:lang w:eastAsia="hr-HR"/>
              </w:rPr>
              <w:t xml:space="preserve">DRUŠTVA ZA OSIGURANJE </w:t>
            </w:r>
          </w:p>
        </w:tc>
        <w:tc>
          <w:tcPr>
            <w:tcW w:w="992" w:type="dxa"/>
            <w:tcBorders>
              <w:top w:val="nil"/>
              <w:left w:val="nil"/>
              <w:bottom w:val="single" w:sz="4" w:space="0" w:color="auto"/>
              <w:right w:val="single" w:sz="4" w:space="0" w:color="auto"/>
            </w:tcBorders>
            <w:shd w:val="clear" w:color="000000" w:fill="F2F2F2"/>
            <w:vAlign w:val="center"/>
          </w:tcPr>
          <w:p w14:paraId="0726FA6F"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sz w:val="20"/>
                <w:szCs w:val="20"/>
                <w:lang w:eastAsia="hr-HR"/>
              </w:rPr>
              <w:t>4</w:t>
            </w:r>
          </w:p>
        </w:tc>
        <w:tc>
          <w:tcPr>
            <w:tcW w:w="992" w:type="dxa"/>
            <w:tcBorders>
              <w:top w:val="nil"/>
              <w:left w:val="nil"/>
              <w:bottom w:val="single" w:sz="4" w:space="0" w:color="auto"/>
              <w:right w:val="single" w:sz="4" w:space="0" w:color="auto"/>
            </w:tcBorders>
            <w:shd w:val="clear" w:color="000000" w:fill="F2F2F2"/>
            <w:vAlign w:val="center"/>
          </w:tcPr>
          <w:p w14:paraId="7D622D6B"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3A754B72"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w:t>
            </w:r>
          </w:p>
        </w:tc>
        <w:tc>
          <w:tcPr>
            <w:tcW w:w="992" w:type="dxa"/>
            <w:tcBorders>
              <w:top w:val="nil"/>
              <w:left w:val="nil"/>
              <w:bottom w:val="single" w:sz="4" w:space="0" w:color="auto"/>
              <w:right w:val="single" w:sz="4" w:space="0" w:color="auto"/>
            </w:tcBorders>
            <w:shd w:val="clear" w:color="000000" w:fill="F2F2F2"/>
            <w:vAlign w:val="center"/>
          </w:tcPr>
          <w:p w14:paraId="40DC2BB5"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r>
      <w:tr w:rsidR="008402DA" w:rsidRPr="004665E0" w14:paraId="3649B0D5"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72FFCAA0" w14:textId="77777777" w:rsidR="008402DA" w:rsidRPr="004665E0" w:rsidRDefault="008402DA" w:rsidP="005137AB">
            <w:pPr>
              <w:spacing w:after="0" w:line="240" w:lineRule="auto"/>
              <w:rPr>
                <w:rFonts w:ascii="Times New Roman" w:eastAsia="Times New Roman" w:hAnsi="Times New Roman" w:cs="Times New Roman"/>
                <w:bCs/>
                <w:sz w:val="20"/>
                <w:szCs w:val="20"/>
                <w:lang w:eastAsia="hr-HR"/>
              </w:rPr>
            </w:pPr>
            <w:r w:rsidRPr="004665E0">
              <w:rPr>
                <w:rFonts w:ascii="Times New Roman" w:eastAsia="Times New Roman" w:hAnsi="Times New Roman" w:cs="Times New Roman"/>
                <w:bCs/>
                <w:iCs/>
                <w:sz w:val="20"/>
                <w:szCs w:val="20"/>
                <w:lang w:eastAsia="hr-HR"/>
              </w:rPr>
              <w:t>LEASING DRUŠTVA</w:t>
            </w:r>
          </w:p>
        </w:tc>
        <w:tc>
          <w:tcPr>
            <w:tcW w:w="992" w:type="dxa"/>
            <w:tcBorders>
              <w:top w:val="nil"/>
              <w:left w:val="nil"/>
              <w:bottom w:val="single" w:sz="4" w:space="0" w:color="auto"/>
              <w:right w:val="single" w:sz="4" w:space="0" w:color="auto"/>
            </w:tcBorders>
            <w:shd w:val="clear" w:color="000000" w:fill="F2F2F2"/>
            <w:vAlign w:val="center"/>
          </w:tcPr>
          <w:p w14:paraId="5A0D43F9"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sz w:val="20"/>
                <w:szCs w:val="20"/>
                <w:lang w:eastAsia="hr-HR"/>
              </w:rPr>
              <w:t>2</w:t>
            </w:r>
          </w:p>
        </w:tc>
        <w:tc>
          <w:tcPr>
            <w:tcW w:w="992" w:type="dxa"/>
            <w:tcBorders>
              <w:top w:val="nil"/>
              <w:left w:val="nil"/>
              <w:bottom w:val="single" w:sz="4" w:space="0" w:color="auto"/>
              <w:right w:val="single" w:sz="4" w:space="0" w:color="auto"/>
            </w:tcBorders>
            <w:shd w:val="clear" w:color="000000" w:fill="F2F2F2"/>
            <w:vAlign w:val="center"/>
          </w:tcPr>
          <w:p w14:paraId="49F59E5E"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6EC9601A"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w:t>
            </w:r>
          </w:p>
        </w:tc>
        <w:tc>
          <w:tcPr>
            <w:tcW w:w="992" w:type="dxa"/>
            <w:tcBorders>
              <w:top w:val="nil"/>
              <w:left w:val="nil"/>
              <w:bottom w:val="single" w:sz="4" w:space="0" w:color="auto"/>
              <w:right w:val="single" w:sz="4" w:space="0" w:color="auto"/>
            </w:tcBorders>
            <w:shd w:val="clear" w:color="000000" w:fill="F2F2F2"/>
            <w:vAlign w:val="center"/>
          </w:tcPr>
          <w:p w14:paraId="3E78AB20"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r>
      <w:tr w:rsidR="008402DA" w:rsidRPr="004665E0" w14:paraId="33CB132E"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4411BCC9" w14:textId="77777777" w:rsidR="008402DA" w:rsidRPr="004665E0" w:rsidRDefault="008402DA" w:rsidP="005137AB">
            <w:pPr>
              <w:spacing w:after="0" w:line="240" w:lineRule="auto"/>
              <w:rPr>
                <w:rFonts w:ascii="Times New Roman" w:eastAsia="Times New Roman" w:hAnsi="Times New Roman" w:cs="Times New Roman"/>
                <w:bCs/>
                <w:sz w:val="20"/>
                <w:szCs w:val="20"/>
                <w:lang w:eastAsia="hr-HR"/>
              </w:rPr>
            </w:pPr>
            <w:r w:rsidRPr="004665E0">
              <w:rPr>
                <w:rFonts w:ascii="Times New Roman" w:eastAsia="Times New Roman" w:hAnsi="Times New Roman" w:cs="Times New Roman"/>
                <w:bCs/>
                <w:sz w:val="20"/>
                <w:szCs w:val="20"/>
                <w:lang w:eastAsia="hr-HR"/>
              </w:rPr>
              <w:t xml:space="preserve">HP-HRVATSKA POŠTA </w:t>
            </w:r>
          </w:p>
        </w:tc>
        <w:tc>
          <w:tcPr>
            <w:tcW w:w="992" w:type="dxa"/>
            <w:tcBorders>
              <w:top w:val="nil"/>
              <w:left w:val="nil"/>
              <w:bottom w:val="single" w:sz="4" w:space="0" w:color="auto"/>
              <w:right w:val="single" w:sz="4" w:space="0" w:color="auto"/>
            </w:tcBorders>
            <w:shd w:val="clear" w:color="000000" w:fill="F2F2F2"/>
            <w:vAlign w:val="center"/>
          </w:tcPr>
          <w:p w14:paraId="778449F3"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sz w:val="20"/>
                <w:szCs w:val="20"/>
                <w:lang w:eastAsia="hr-HR"/>
              </w:rPr>
              <w:t>74</w:t>
            </w:r>
          </w:p>
        </w:tc>
        <w:tc>
          <w:tcPr>
            <w:tcW w:w="992" w:type="dxa"/>
            <w:tcBorders>
              <w:top w:val="nil"/>
              <w:left w:val="nil"/>
              <w:bottom w:val="single" w:sz="4" w:space="0" w:color="auto"/>
              <w:right w:val="single" w:sz="4" w:space="0" w:color="auto"/>
            </w:tcBorders>
            <w:shd w:val="clear" w:color="000000" w:fill="F2F2F2"/>
            <w:vAlign w:val="center"/>
          </w:tcPr>
          <w:p w14:paraId="2915F4CD"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4A5D2A53"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47</w:t>
            </w:r>
          </w:p>
        </w:tc>
        <w:tc>
          <w:tcPr>
            <w:tcW w:w="992" w:type="dxa"/>
            <w:tcBorders>
              <w:top w:val="nil"/>
              <w:left w:val="nil"/>
              <w:bottom w:val="single" w:sz="4" w:space="0" w:color="auto"/>
              <w:right w:val="single" w:sz="4" w:space="0" w:color="auto"/>
            </w:tcBorders>
            <w:shd w:val="clear" w:color="000000" w:fill="F2F2F2"/>
            <w:vAlign w:val="center"/>
          </w:tcPr>
          <w:p w14:paraId="732D816C"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r>
      <w:tr w:rsidR="008402DA" w:rsidRPr="004665E0" w14:paraId="78A40FFD" w14:textId="77777777" w:rsidTr="005137AB">
        <w:trPr>
          <w:trHeight w:hRule="exact" w:val="858"/>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10ABAACC" w14:textId="77777777" w:rsidR="008402DA" w:rsidRPr="004665E0" w:rsidRDefault="008402DA" w:rsidP="005137AB">
            <w:pPr>
              <w:spacing w:after="0" w:line="240" w:lineRule="auto"/>
              <w:rPr>
                <w:rFonts w:ascii="Times New Roman" w:eastAsia="Times New Roman" w:hAnsi="Times New Roman" w:cs="Times New Roman"/>
                <w:bCs/>
                <w:sz w:val="20"/>
                <w:szCs w:val="20"/>
                <w:lang w:eastAsia="hr-HR"/>
              </w:rPr>
            </w:pPr>
            <w:r w:rsidRPr="004665E0">
              <w:rPr>
                <w:rFonts w:ascii="Times New Roman" w:eastAsia="Times New Roman" w:hAnsi="Times New Roman" w:cs="Times New Roman"/>
                <w:bCs/>
                <w:iCs/>
                <w:sz w:val="20"/>
                <w:szCs w:val="20"/>
                <w:lang w:eastAsia="hr-HR"/>
              </w:rPr>
              <w:t xml:space="preserve">INSTITUCIJE ZA ELEKTRONIČKI </w:t>
            </w:r>
            <w:r>
              <w:rPr>
                <w:rFonts w:ascii="Times New Roman" w:eastAsia="Times New Roman" w:hAnsi="Times New Roman" w:cs="Times New Roman"/>
                <w:bCs/>
                <w:iCs/>
                <w:sz w:val="20"/>
                <w:szCs w:val="20"/>
                <w:lang w:eastAsia="hr-HR"/>
              </w:rPr>
              <w:t>NOVAC</w:t>
            </w:r>
          </w:p>
        </w:tc>
        <w:tc>
          <w:tcPr>
            <w:tcW w:w="992" w:type="dxa"/>
            <w:tcBorders>
              <w:top w:val="nil"/>
              <w:left w:val="nil"/>
              <w:bottom w:val="single" w:sz="4" w:space="0" w:color="auto"/>
              <w:right w:val="single" w:sz="4" w:space="0" w:color="auto"/>
            </w:tcBorders>
            <w:shd w:val="clear" w:color="000000" w:fill="F2F2F2"/>
            <w:vAlign w:val="center"/>
          </w:tcPr>
          <w:p w14:paraId="24C41AD8"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sz w:val="20"/>
                <w:szCs w:val="20"/>
                <w:lang w:eastAsia="hr-HR"/>
              </w:rPr>
              <w:t>1</w:t>
            </w:r>
          </w:p>
        </w:tc>
        <w:tc>
          <w:tcPr>
            <w:tcW w:w="992" w:type="dxa"/>
            <w:tcBorders>
              <w:top w:val="nil"/>
              <w:left w:val="nil"/>
              <w:bottom w:val="single" w:sz="4" w:space="0" w:color="auto"/>
              <w:right w:val="single" w:sz="4" w:space="0" w:color="auto"/>
            </w:tcBorders>
            <w:shd w:val="clear" w:color="000000" w:fill="F2F2F2"/>
            <w:vAlign w:val="center"/>
          </w:tcPr>
          <w:p w14:paraId="124695EE"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38F28D8C"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73</w:t>
            </w:r>
          </w:p>
        </w:tc>
        <w:tc>
          <w:tcPr>
            <w:tcW w:w="992" w:type="dxa"/>
            <w:tcBorders>
              <w:top w:val="nil"/>
              <w:left w:val="nil"/>
              <w:bottom w:val="single" w:sz="4" w:space="0" w:color="auto"/>
              <w:right w:val="single" w:sz="4" w:space="0" w:color="auto"/>
            </w:tcBorders>
            <w:shd w:val="clear" w:color="000000" w:fill="F2F2F2"/>
            <w:vAlign w:val="center"/>
          </w:tcPr>
          <w:p w14:paraId="4C2D15A4"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r>
      <w:tr w:rsidR="008402DA" w:rsidRPr="004665E0" w14:paraId="207AFB4F"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49064DD4" w14:textId="77777777" w:rsidR="008402DA" w:rsidRPr="004665E0" w:rsidRDefault="008402DA" w:rsidP="005137AB">
            <w:pPr>
              <w:spacing w:after="0" w:line="240" w:lineRule="auto"/>
              <w:rPr>
                <w:rFonts w:ascii="Times New Roman" w:eastAsia="Times New Roman" w:hAnsi="Times New Roman" w:cs="Times New Roman"/>
                <w:bCs/>
                <w:sz w:val="20"/>
                <w:szCs w:val="20"/>
                <w:lang w:eastAsia="hr-HR"/>
              </w:rPr>
            </w:pPr>
            <w:r w:rsidRPr="004665E0">
              <w:rPr>
                <w:rFonts w:ascii="Times New Roman" w:eastAsia="Times New Roman" w:hAnsi="Times New Roman" w:cs="Times New Roman"/>
                <w:bCs/>
                <w:iCs/>
                <w:sz w:val="20"/>
                <w:szCs w:val="20"/>
                <w:lang w:eastAsia="hr-HR"/>
              </w:rPr>
              <w:t xml:space="preserve">OVLAŠTENI MJENJAČI </w:t>
            </w:r>
          </w:p>
        </w:tc>
        <w:tc>
          <w:tcPr>
            <w:tcW w:w="992" w:type="dxa"/>
            <w:tcBorders>
              <w:top w:val="nil"/>
              <w:left w:val="nil"/>
              <w:bottom w:val="single" w:sz="4" w:space="0" w:color="auto"/>
              <w:right w:val="single" w:sz="4" w:space="0" w:color="auto"/>
            </w:tcBorders>
            <w:shd w:val="clear" w:color="000000" w:fill="F2F2F2"/>
            <w:vAlign w:val="center"/>
          </w:tcPr>
          <w:p w14:paraId="11E48DAB"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sz w:val="20"/>
                <w:szCs w:val="20"/>
                <w:lang w:eastAsia="hr-HR"/>
              </w:rPr>
              <w:t>8</w:t>
            </w:r>
          </w:p>
        </w:tc>
        <w:tc>
          <w:tcPr>
            <w:tcW w:w="992" w:type="dxa"/>
            <w:tcBorders>
              <w:top w:val="nil"/>
              <w:left w:val="nil"/>
              <w:bottom w:val="single" w:sz="4" w:space="0" w:color="auto"/>
              <w:right w:val="single" w:sz="4" w:space="0" w:color="auto"/>
            </w:tcBorders>
            <w:shd w:val="clear" w:color="000000" w:fill="F2F2F2"/>
            <w:vAlign w:val="center"/>
          </w:tcPr>
          <w:p w14:paraId="081B8FD3"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246935B2"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9</w:t>
            </w:r>
          </w:p>
        </w:tc>
        <w:tc>
          <w:tcPr>
            <w:tcW w:w="992" w:type="dxa"/>
            <w:tcBorders>
              <w:top w:val="nil"/>
              <w:left w:val="nil"/>
              <w:bottom w:val="single" w:sz="4" w:space="0" w:color="auto"/>
              <w:right w:val="single" w:sz="4" w:space="0" w:color="auto"/>
            </w:tcBorders>
            <w:shd w:val="clear" w:color="000000" w:fill="F2F2F2"/>
            <w:vAlign w:val="center"/>
          </w:tcPr>
          <w:p w14:paraId="733DAF4C"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r>
      <w:tr w:rsidR="008402DA" w:rsidRPr="004665E0" w14:paraId="5BB16ECE"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2907D38D" w14:textId="77777777" w:rsidR="008402DA" w:rsidRPr="004665E0" w:rsidRDefault="008402DA" w:rsidP="005137AB">
            <w:pPr>
              <w:spacing w:after="0" w:line="240" w:lineRule="auto"/>
              <w:rPr>
                <w:rFonts w:ascii="Times New Roman" w:eastAsia="Times New Roman" w:hAnsi="Times New Roman" w:cs="Times New Roman"/>
                <w:bCs/>
                <w:sz w:val="20"/>
                <w:szCs w:val="20"/>
                <w:lang w:eastAsia="hr-HR"/>
              </w:rPr>
            </w:pPr>
            <w:r w:rsidRPr="004665E0">
              <w:rPr>
                <w:rFonts w:ascii="Times New Roman" w:eastAsia="Times New Roman" w:hAnsi="Times New Roman" w:cs="Times New Roman"/>
                <w:bCs/>
                <w:sz w:val="20"/>
                <w:szCs w:val="20"/>
                <w:lang w:eastAsia="hr-HR"/>
              </w:rPr>
              <w:t>ZASTUPNICI INSTITUCIJA ZA PLATNI PROMET</w:t>
            </w:r>
          </w:p>
        </w:tc>
        <w:tc>
          <w:tcPr>
            <w:tcW w:w="992" w:type="dxa"/>
            <w:tcBorders>
              <w:top w:val="nil"/>
              <w:left w:val="nil"/>
              <w:bottom w:val="single" w:sz="4" w:space="0" w:color="auto"/>
              <w:right w:val="single" w:sz="4" w:space="0" w:color="auto"/>
            </w:tcBorders>
            <w:shd w:val="clear" w:color="000000" w:fill="F2F2F2"/>
            <w:vAlign w:val="center"/>
          </w:tcPr>
          <w:p w14:paraId="2C4B9780"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sz w:val="20"/>
                <w:szCs w:val="20"/>
                <w:lang w:eastAsia="hr-HR"/>
              </w:rPr>
              <w:t>207</w:t>
            </w:r>
          </w:p>
        </w:tc>
        <w:tc>
          <w:tcPr>
            <w:tcW w:w="992" w:type="dxa"/>
            <w:tcBorders>
              <w:top w:val="nil"/>
              <w:left w:val="nil"/>
              <w:bottom w:val="single" w:sz="4" w:space="0" w:color="auto"/>
              <w:right w:val="single" w:sz="4" w:space="0" w:color="auto"/>
            </w:tcBorders>
            <w:shd w:val="clear" w:color="000000" w:fill="F2F2F2"/>
            <w:vAlign w:val="center"/>
          </w:tcPr>
          <w:p w14:paraId="6AFFC3B8"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sz w:val="20"/>
                <w:szCs w:val="20"/>
                <w:lang w:eastAsia="hr-HR"/>
              </w:rPr>
              <w:t>5</w:t>
            </w:r>
          </w:p>
        </w:tc>
        <w:tc>
          <w:tcPr>
            <w:tcW w:w="1134" w:type="dxa"/>
            <w:tcBorders>
              <w:top w:val="nil"/>
              <w:left w:val="nil"/>
              <w:bottom w:val="single" w:sz="4" w:space="0" w:color="auto"/>
              <w:right w:val="single" w:sz="4" w:space="0" w:color="auto"/>
            </w:tcBorders>
            <w:shd w:val="clear" w:color="000000" w:fill="F2F2F2"/>
            <w:vAlign w:val="center"/>
          </w:tcPr>
          <w:p w14:paraId="710448DA"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265</w:t>
            </w:r>
          </w:p>
        </w:tc>
        <w:tc>
          <w:tcPr>
            <w:tcW w:w="992" w:type="dxa"/>
            <w:tcBorders>
              <w:top w:val="nil"/>
              <w:left w:val="nil"/>
              <w:bottom w:val="single" w:sz="4" w:space="0" w:color="auto"/>
              <w:right w:val="single" w:sz="4" w:space="0" w:color="auto"/>
            </w:tcBorders>
            <w:shd w:val="clear" w:color="000000" w:fill="F2F2F2"/>
            <w:vAlign w:val="center"/>
          </w:tcPr>
          <w:p w14:paraId="4C6BB952"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r>
      <w:tr w:rsidR="008402DA" w:rsidRPr="004665E0" w14:paraId="5FCAADD6"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40F4C3E1" w14:textId="77777777" w:rsidR="008402DA" w:rsidRPr="004665E0" w:rsidRDefault="008402DA" w:rsidP="005137AB">
            <w:pPr>
              <w:spacing w:after="0" w:line="240" w:lineRule="auto"/>
              <w:rPr>
                <w:rFonts w:ascii="Times New Roman" w:eastAsia="Times New Roman" w:hAnsi="Times New Roman" w:cs="Times New Roman"/>
                <w:bCs/>
                <w:sz w:val="20"/>
                <w:szCs w:val="20"/>
                <w:lang w:eastAsia="hr-HR"/>
              </w:rPr>
            </w:pPr>
            <w:r w:rsidRPr="004665E0">
              <w:rPr>
                <w:rFonts w:ascii="Times New Roman" w:eastAsia="Times New Roman" w:hAnsi="Times New Roman" w:cs="Times New Roman"/>
                <w:bCs/>
                <w:sz w:val="20"/>
                <w:szCs w:val="20"/>
                <w:lang w:eastAsia="hr-HR"/>
              </w:rPr>
              <w:t>PRIREĐIVAČI IGARA NA SREĆU</w:t>
            </w:r>
          </w:p>
        </w:tc>
        <w:tc>
          <w:tcPr>
            <w:tcW w:w="992" w:type="dxa"/>
            <w:tcBorders>
              <w:top w:val="nil"/>
              <w:left w:val="nil"/>
              <w:bottom w:val="single" w:sz="4" w:space="0" w:color="auto"/>
              <w:right w:val="single" w:sz="4" w:space="0" w:color="auto"/>
            </w:tcBorders>
            <w:shd w:val="clear" w:color="000000" w:fill="F2F2F2"/>
            <w:vAlign w:val="center"/>
          </w:tcPr>
          <w:p w14:paraId="090B6FED"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sz w:val="20"/>
                <w:szCs w:val="20"/>
                <w:lang w:eastAsia="hr-HR"/>
              </w:rPr>
              <w:t>8</w:t>
            </w:r>
          </w:p>
        </w:tc>
        <w:tc>
          <w:tcPr>
            <w:tcW w:w="992" w:type="dxa"/>
            <w:tcBorders>
              <w:top w:val="nil"/>
              <w:left w:val="nil"/>
              <w:bottom w:val="single" w:sz="4" w:space="0" w:color="auto"/>
              <w:right w:val="single" w:sz="4" w:space="0" w:color="auto"/>
            </w:tcBorders>
            <w:shd w:val="clear" w:color="000000" w:fill="F2F2F2"/>
            <w:vAlign w:val="center"/>
          </w:tcPr>
          <w:p w14:paraId="16D17AC4"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7D5F765C"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22</w:t>
            </w:r>
          </w:p>
        </w:tc>
        <w:tc>
          <w:tcPr>
            <w:tcW w:w="992" w:type="dxa"/>
            <w:tcBorders>
              <w:top w:val="nil"/>
              <w:left w:val="nil"/>
              <w:bottom w:val="single" w:sz="4" w:space="0" w:color="auto"/>
              <w:right w:val="single" w:sz="4" w:space="0" w:color="auto"/>
            </w:tcBorders>
            <w:shd w:val="clear" w:color="000000" w:fill="F2F2F2"/>
            <w:vAlign w:val="center"/>
          </w:tcPr>
          <w:p w14:paraId="524C9A5C"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r>
      <w:tr w:rsidR="008402DA" w:rsidRPr="004665E0" w14:paraId="45938EA7"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7D7BD297" w14:textId="77777777" w:rsidR="008402DA" w:rsidRPr="004665E0" w:rsidRDefault="008402DA" w:rsidP="005137AB">
            <w:pPr>
              <w:spacing w:after="0" w:line="240" w:lineRule="auto"/>
              <w:rPr>
                <w:rFonts w:ascii="Times New Roman" w:eastAsia="Times New Roman" w:hAnsi="Times New Roman" w:cs="Times New Roman"/>
                <w:bCs/>
                <w:sz w:val="20"/>
                <w:szCs w:val="20"/>
                <w:lang w:eastAsia="hr-HR"/>
              </w:rPr>
            </w:pPr>
            <w:r w:rsidRPr="004665E0">
              <w:rPr>
                <w:rFonts w:ascii="Times New Roman" w:eastAsia="Times New Roman" w:hAnsi="Times New Roman" w:cs="Times New Roman"/>
                <w:bCs/>
                <w:iCs/>
                <w:sz w:val="20"/>
                <w:szCs w:val="20"/>
                <w:lang w:eastAsia="hr-HR"/>
              </w:rPr>
              <w:t xml:space="preserve">JAVNI BILJEŽNICI </w:t>
            </w:r>
          </w:p>
        </w:tc>
        <w:tc>
          <w:tcPr>
            <w:tcW w:w="992" w:type="dxa"/>
            <w:tcBorders>
              <w:top w:val="nil"/>
              <w:left w:val="nil"/>
              <w:bottom w:val="single" w:sz="4" w:space="0" w:color="auto"/>
              <w:right w:val="single" w:sz="4" w:space="0" w:color="auto"/>
            </w:tcBorders>
            <w:shd w:val="clear" w:color="000000" w:fill="F2F2F2"/>
            <w:vAlign w:val="center"/>
          </w:tcPr>
          <w:p w14:paraId="124AE19F"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sz w:val="20"/>
                <w:szCs w:val="20"/>
                <w:lang w:eastAsia="hr-HR"/>
              </w:rPr>
              <w:t>3</w:t>
            </w:r>
          </w:p>
        </w:tc>
        <w:tc>
          <w:tcPr>
            <w:tcW w:w="992" w:type="dxa"/>
            <w:tcBorders>
              <w:top w:val="nil"/>
              <w:left w:val="nil"/>
              <w:bottom w:val="single" w:sz="4" w:space="0" w:color="auto"/>
              <w:right w:val="single" w:sz="4" w:space="0" w:color="auto"/>
            </w:tcBorders>
            <w:shd w:val="clear" w:color="000000" w:fill="F2F2F2"/>
            <w:vAlign w:val="center"/>
          </w:tcPr>
          <w:p w14:paraId="5DBE407D"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66BCF04C"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w:t>
            </w:r>
          </w:p>
        </w:tc>
        <w:tc>
          <w:tcPr>
            <w:tcW w:w="992" w:type="dxa"/>
            <w:tcBorders>
              <w:top w:val="nil"/>
              <w:left w:val="nil"/>
              <w:bottom w:val="single" w:sz="4" w:space="0" w:color="auto"/>
              <w:right w:val="single" w:sz="4" w:space="0" w:color="auto"/>
            </w:tcBorders>
            <w:shd w:val="clear" w:color="000000" w:fill="F2F2F2"/>
            <w:vAlign w:val="center"/>
          </w:tcPr>
          <w:p w14:paraId="795B7B3B"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r>
      <w:tr w:rsidR="008402DA" w:rsidRPr="004665E0" w14:paraId="2DC77482"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48D47F33" w14:textId="77777777" w:rsidR="008402DA" w:rsidRPr="004665E0" w:rsidRDefault="008402DA" w:rsidP="005137AB">
            <w:pPr>
              <w:spacing w:after="0" w:line="240" w:lineRule="auto"/>
              <w:rPr>
                <w:rFonts w:ascii="Times New Roman" w:eastAsia="Times New Roman" w:hAnsi="Times New Roman" w:cs="Times New Roman"/>
                <w:bCs/>
                <w:sz w:val="20"/>
                <w:szCs w:val="20"/>
                <w:lang w:eastAsia="hr-HR"/>
              </w:rPr>
            </w:pPr>
            <w:r w:rsidRPr="004665E0">
              <w:rPr>
                <w:rFonts w:ascii="Times New Roman" w:eastAsia="Times New Roman" w:hAnsi="Times New Roman" w:cs="Times New Roman"/>
                <w:bCs/>
                <w:iCs/>
                <w:sz w:val="20"/>
                <w:szCs w:val="20"/>
                <w:lang w:eastAsia="hr-HR"/>
              </w:rPr>
              <w:t>ODVJETNICI</w:t>
            </w:r>
          </w:p>
        </w:tc>
        <w:tc>
          <w:tcPr>
            <w:tcW w:w="992" w:type="dxa"/>
            <w:tcBorders>
              <w:top w:val="nil"/>
              <w:left w:val="nil"/>
              <w:bottom w:val="single" w:sz="4" w:space="0" w:color="auto"/>
              <w:right w:val="single" w:sz="4" w:space="0" w:color="auto"/>
            </w:tcBorders>
            <w:shd w:val="clear" w:color="000000" w:fill="F2F2F2"/>
            <w:vAlign w:val="center"/>
          </w:tcPr>
          <w:p w14:paraId="1B209BE6"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c>
          <w:tcPr>
            <w:tcW w:w="992" w:type="dxa"/>
            <w:tcBorders>
              <w:top w:val="nil"/>
              <w:left w:val="nil"/>
              <w:bottom w:val="single" w:sz="4" w:space="0" w:color="auto"/>
              <w:right w:val="single" w:sz="4" w:space="0" w:color="auto"/>
            </w:tcBorders>
            <w:shd w:val="clear" w:color="000000" w:fill="F2F2F2"/>
            <w:vAlign w:val="center"/>
          </w:tcPr>
          <w:p w14:paraId="4D098E43"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02A373AA"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7</w:t>
            </w:r>
          </w:p>
        </w:tc>
        <w:tc>
          <w:tcPr>
            <w:tcW w:w="992" w:type="dxa"/>
            <w:tcBorders>
              <w:top w:val="nil"/>
              <w:left w:val="nil"/>
              <w:bottom w:val="single" w:sz="4" w:space="0" w:color="auto"/>
              <w:right w:val="single" w:sz="4" w:space="0" w:color="auto"/>
            </w:tcBorders>
            <w:shd w:val="clear" w:color="000000" w:fill="F2F2F2"/>
            <w:vAlign w:val="center"/>
          </w:tcPr>
          <w:p w14:paraId="5398F3A2"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r>
      <w:tr w:rsidR="008402DA" w:rsidRPr="004665E0" w14:paraId="798C6300"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57CD63DC" w14:textId="77777777" w:rsidR="008402DA" w:rsidRPr="004665E0" w:rsidRDefault="008402DA" w:rsidP="005137AB">
            <w:pPr>
              <w:spacing w:after="0" w:line="240" w:lineRule="auto"/>
              <w:rPr>
                <w:rFonts w:ascii="Times New Roman" w:eastAsia="Times New Roman" w:hAnsi="Times New Roman" w:cs="Times New Roman"/>
                <w:bCs/>
                <w:sz w:val="20"/>
                <w:szCs w:val="20"/>
                <w:lang w:eastAsia="hr-HR"/>
              </w:rPr>
            </w:pPr>
            <w:r w:rsidRPr="004665E0">
              <w:rPr>
                <w:rFonts w:ascii="Times New Roman" w:eastAsia="Times New Roman" w:hAnsi="Times New Roman" w:cs="Times New Roman"/>
                <w:bCs/>
                <w:iCs/>
                <w:sz w:val="20"/>
                <w:szCs w:val="20"/>
                <w:lang w:eastAsia="hr-HR"/>
              </w:rPr>
              <w:t>VANJSKI RAČUNOVOĐE</w:t>
            </w:r>
          </w:p>
        </w:tc>
        <w:tc>
          <w:tcPr>
            <w:tcW w:w="992" w:type="dxa"/>
            <w:tcBorders>
              <w:top w:val="nil"/>
              <w:left w:val="nil"/>
              <w:bottom w:val="single" w:sz="4" w:space="0" w:color="auto"/>
              <w:right w:val="single" w:sz="4" w:space="0" w:color="auto"/>
            </w:tcBorders>
            <w:shd w:val="clear" w:color="000000" w:fill="F2F2F2"/>
            <w:vAlign w:val="center"/>
          </w:tcPr>
          <w:p w14:paraId="7D7CD772"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sz w:val="20"/>
                <w:szCs w:val="20"/>
                <w:lang w:eastAsia="hr-HR"/>
              </w:rPr>
              <w:t>3</w:t>
            </w:r>
          </w:p>
        </w:tc>
        <w:tc>
          <w:tcPr>
            <w:tcW w:w="992" w:type="dxa"/>
            <w:tcBorders>
              <w:top w:val="nil"/>
              <w:left w:val="nil"/>
              <w:bottom w:val="single" w:sz="4" w:space="0" w:color="auto"/>
              <w:right w:val="single" w:sz="4" w:space="0" w:color="auto"/>
            </w:tcBorders>
            <w:shd w:val="clear" w:color="000000" w:fill="F2F2F2"/>
            <w:vAlign w:val="center"/>
          </w:tcPr>
          <w:p w14:paraId="3962192A"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036C37B4"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8</w:t>
            </w:r>
          </w:p>
        </w:tc>
        <w:tc>
          <w:tcPr>
            <w:tcW w:w="992" w:type="dxa"/>
            <w:tcBorders>
              <w:top w:val="nil"/>
              <w:left w:val="nil"/>
              <w:bottom w:val="single" w:sz="4" w:space="0" w:color="auto"/>
              <w:right w:val="single" w:sz="4" w:space="0" w:color="auto"/>
            </w:tcBorders>
            <w:shd w:val="clear" w:color="000000" w:fill="F2F2F2"/>
            <w:vAlign w:val="center"/>
          </w:tcPr>
          <w:p w14:paraId="69A1A6E4"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r>
      <w:tr w:rsidR="008402DA" w:rsidRPr="004665E0" w14:paraId="1434AC9F" w14:textId="77777777" w:rsidTr="005137AB">
        <w:trPr>
          <w:trHeight w:hRule="exact" w:val="492"/>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19BEDF9A" w14:textId="77777777" w:rsidR="008402DA" w:rsidRPr="004665E0" w:rsidRDefault="008402DA" w:rsidP="005137AB">
            <w:pPr>
              <w:spacing w:after="0" w:line="240" w:lineRule="auto"/>
              <w:rPr>
                <w:rFonts w:ascii="Times New Roman" w:eastAsia="Times New Roman" w:hAnsi="Times New Roman" w:cs="Times New Roman"/>
                <w:bCs/>
                <w:sz w:val="20"/>
                <w:szCs w:val="20"/>
                <w:lang w:eastAsia="hr-HR"/>
              </w:rPr>
            </w:pPr>
            <w:r w:rsidRPr="004665E0">
              <w:rPr>
                <w:rFonts w:ascii="Times New Roman" w:eastAsia="Times New Roman" w:hAnsi="Times New Roman" w:cs="Times New Roman"/>
                <w:bCs/>
                <w:iCs/>
                <w:sz w:val="20"/>
                <w:szCs w:val="20"/>
                <w:lang w:eastAsia="hr-HR"/>
              </w:rPr>
              <w:t>RAZMJENA VIRTUALNIH I FIDUCIJARNIH VALUTA</w:t>
            </w:r>
          </w:p>
        </w:tc>
        <w:tc>
          <w:tcPr>
            <w:tcW w:w="992" w:type="dxa"/>
            <w:tcBorders>
              <w:top w:val="nil"/>
              <w:left w:val="nil"/>
              <w:bottom w:val="single" w:sz="4" w:space="0" w:color="auto"/>
              <w:right w:val="single" w:sz="4" w:space="0" w:color="auto"/>
            </w:tcBorders>
            <w:shd w:val="clear" w:color="000000" w:fill="F2F2F2"/>
            <w:vAlign w:val="center"/>
          </w:tcPr>
          <w:p w14:paraId="4A94E04D"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sz w:val="20"/>
                <w:szCs w:val="20"/>
                <w:lang w:eastAsia="hr-HR"/>
              </w:rPr>
              <w:t>8</w:t>
            </w:r>
          </w:p>
        </w:tc>
        <w:tc>
          <w:tcPr>
            <w:tcW w:w="992" w:type="dxa"/>
            <w:tcBorders>
              <w:top w:val="nil"/>
              <w:left w:val="nil"/>
              <w:bottom w:val="single" w:sz="4" w:space="0" w:color="auto"/>
              <w:right w:val="single" w:sz="4" w:space="0" w:color="auto"/>
            </w:tcBorders>
            <w:shd w:val="clear" w:color="000000" w:fill="F2F2F2"/>
            <w:vAlign w:val="center"/>
          </w:tcPr>
          <w:p w14:paraId="4C6DBD25"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28FDFFBF"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25</w:t>
            </w:r>
          </w:p>
        </w:tc>
        <w:tc>
          <w:tcPr>
            <w:tcW w:w="992" w:type="dxa"/>
            <w:tcBorders>
              <w:top w:val="nil"/>
              <w:left w:val="nil"/>
              <w:bottom w:val="single" w:sz="4" w:space="0" w:color="auto"/>
              <w:right w:val="single" w:sz="4" w:space="0" w:color="auto"/>
            </w:tcBorders>
            <w:shd w:val="clear" w:color="000000" w:fill="F2F2F2"/>
            <w:vAlign w:val="center"/>
          </w:tcPr>
          <w:p w14:paraId="33490AEB"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11</w:t>
            </w:r>
          </w:p>
        </w:tc>
      </w:tr>
      <w:tr w:rsidR="008402DA" w:rsidRPr="004665E0" w14:paraId="4A8071EE" w14:textId="77777777" w:rsidTr="005137AB">
        <w:trPr>
          <w:trHeight w:hRule="exact" w:val="492"/>
        </w:trPr>
        <w:tc>
          <w:tcPr>
            <w:tcW w:w="4849" w:type="dxa"/>
            <w:tcBorders>
              <w:top w:val="nil"/>
              <w:left w:val="single" w:sz="4" w:space="0" w:color="auto"/>
              <w:bottom w:val="single" w:sz="4" w:space="0" w:color="auto"/>
              <w:right w:val="single" w:sz="4" w:space="0" w:color="auto"/>
            </w:tcBorders>
            <w:shd w:val="clear" w:color="000000" w:fill="DDEBF7"/>
            <w:vAlign w:val="center"/>
          </w:tcPr>
          <w:p w14:paraId="43CEFBAB" w14:textId="77777777" w:rsidR="008402DA" w:rsidRPr="004665E0" w:rsidRDefault="008402DA" w:rsidP="005137AB">
            <w:pPr>
              <w:spacing w:after="0" w:line="240" w:lineRule="auto"/>
              <w:rPr>
                <w:rFonts w:ascii="Times New Roman" w:eastAsia="Times New Roman" w:hAnsi="Times New Roman" w:cs="Times New Roman"/>
                <w:bCs/>
                <w:iCs/>
                <w:sz w:val="20"/>
                <w:szCs w:val="20"/>
                <w:lang w:eastAsia="hr-HR"/>
              </w:rPr>
            </w:pPr>
            <w:r>
              <w:rPr>
                <w:rFonts w:ascii="Times New Roman" w:eastAsia="Times New Roman" w:hAnsi="Times New Roman" w:cs="Times New Roman"/>
                <w:bCs/>
                <w:iCs/>
                <w:sz w:val="20"/>
                <w:szCs w:val="20"/>
                <w:lang w:eastAsia="hr-HR"/>
              </w:rPr>
              <w:t>FINA</w:t>
            </w:r>
          </w:p>
        </w:tc>
        <w:tc>
          <w:tcPr>
            <w:tcW w:w="992" w:type="dxa"/>
            <w:tcBorders>
              <w:top w:val="nil"/>
              <w:left w:val="nil"/>
              <w:bottom w:val="single" w:sz="4" w:space="0" w:color="auto"/>
              <w:right w:val="single" w:sz="4" w:space="0" w:color="auto"/>
            </w:tcBorders>
            <w:shd w:val="clear" w:color="000000" w:fill="F2F2F2"/>
            <w:vAlign w:val="center"/>
          </w:tcPr>
          <w:p w14:paraId="7699B9E4"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w:t>
            </w:r>
          </w:p>
        </w:tc>
        <w:tc>
          <w:tcPr>
            <w:tcW w:w="992" w:type="dxa"/>
            <w:tcBorders>
              <w:top w:val="nil"/>
              <w:left w:val="nil"/>
              <w:bottom w:val="single" w:sz="4" w:space="0" w:color="auto"/>
              <w:right w:val="single" w:sz="4" w:space="0" w:color="auto"/>
            </w:tcBorders>
            <w:shd w:val="clear" w:color="000000" w:fill="F2F2F2"/>
            <w:vAlign w:val="center"/>
          </w:tcPr>
          <w:p w14:paraId="027D59D1"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1DEB4F51" w14:textId="77777777" w:rsidR="008402DA" w:rsidRDefault="008402DA"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w:t>
            </w:r>
          </w:p>
        </w:tc>
        <w:tc>
          <w:tcPr>
            <w:tcW w:w="992" w:type="dxa"/>
            <w:tcBorders>
              <w:top w:val="nil"/>
              <w:left w:val="nil"/>
              <w:bottom w:val="single" w:sz="4" w:space="0" w:color="auto"/>
              <w:right w:val="single" w:sz="4" w:space="0" w:color="auto"/>
            </w:tcBorders>
            <w:shd w:val="clear" w:color="000000" w:fill="F2F2F2"/>
            <w:vAlign w:val="center"/>
          </w:tcPr>
          <w:p w14:paraId="674E863B" w14:textId="77777777" w:rsidR="008402DA" w:rsidRDefault="008402DA" w:rsidP="005137AB">
            <w:pPr>
              <w:spacing w:after="0" w:line="240" w:lineRule="auto"/>
              <w:jc w:val="center"/>
              <w:rPr>
                <w:rFonts w:ascii="Times New Roman" w:eastAsia="Times New Roman" w:hAnsi="Times New Roman" w:cs="Times New Roman"/>
                <w:b/>
                <w:bCs/>
                <w:sz w:val="20"/>
                <w:szCs w:val="20"/>
                <w:lang w:eastAsia="hr-HR"/>
              </w:rPr>
            </w:pPr>
          </w:p>
        </w:tc>
      </w:tr>
      <w:tr w:rsidR="008402DA" w:rsidRPr="004665E0" w14:paraId="3E521C8B" w14:textId="77777777" w:rsidTr="005137AB">
        <w:trPr>
          <w:trHeight w:hRule="exact" w:val="492"/>
        </w:trPr>
        <w:tc>
          <w:tcPr>
            <w:tcW w:w="4849" w:type="dxa"/>
            <w:tcBorders>
              <w:top w:val="nil"/>
              <w:left w:val="single" w:sz="4" w:space="0" w:color="auto"/>
              <w:bottom w:val="single" w:sz="4" w:space="0" w:color="auto"/>
              <w:right w:val="single" w:sz="4" w:space="0" w:color="auto"/>
            </w:tcBorders>
            <w:shd w:val="clear" w:color="000000" w:fill="DDEBF7"/>
            <w:vAlign w:val="center"/>
          </w:tcPr>
          <w:p w14:paraId="3C9F91E6" w14:textId="77777777" w:rsidR="008402DA" w:rsidRPr="004665E0" w:rsidRDefault="008402DA" w:rsidP="005137AB">
            <w:pPr>
              <w:spacing w:after="0" w:line="240" w:lineRule="auto"/>
              <w:rPr>
                <w:rFonts w:ascii="Times New Roman" w:eastAsia="Times New Roman" w:hAnsi="Times New Roman" w:cs="Times New Roman"/>
                <w:bCs/>
                <w:iCs/>
                <w:sz w:val="20"/>
                <w:szCs w:val="20"/>
                <w:lang w:eastAsia="hr-HR"/>
              </w:rPr>
            </w:pPr>
            <w:r w:rsidRPr="004665E0">
              <w:rPr>
                <w:rFonts w:ascii="Times New Roman" w:eastAsia="Times New Roman" w:hAnsi="Times New Roman" w:cs="Times New Roman"/>
                <w:bCs/>
                <w:iCs/>
                <w:sz w:val="20"/>
                <w:szCs w:val="20"/>
                <w:lang w:eastAsia="hr-HR"/>
              </w:rPr>
              <w:t>PRAVNE OSOBE ZA OTKUP I NAPLATU POTRAŽIVANJA</w:t>
            </w:r>
          </w:p>
        </w:tc>
        <w:tc>
          <w:tcPr>
            <w:tcW w:w="992" w:type="dxa"/>
            <w:tcBorders>
              <w:top w:val="nil"/>
              <w:left w:val="nil"/>
              <w:bottom w:val="single" w:sz="4" w:space="0" w:color="auto"/>
              <w:right w:val="single" w:sz="4" w:space="0" w:color="auto"/>
            </w:tcBorders>
            <w:shd w:val="clear" w:color="000000" w:fill="F2F2F2"/>
            <w:vAlign w:val="center"/>
          </w:tcPr>
          <w:p w14:paraId="50AD079C" w14:textId="77777777" w:rsidR="008402DA" w:rsidRDefault="008402DA"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w:t>
            </w:r>
          </w:p>
        </w:tc>
        <w:tc>
          <w:tcPr>
            <w:tcW w:w="992" w:type="dxa"/>
            <w:tcBorders>
              <w:top w:val="nil"/>
              <w:left w:val="nil"/>
              <w:bottom w:val="single" w:sz="4" w:space="0" w:color="auto"/>
              <w:right w:val="single" w:sz="4" w:space="0" w:color="auto"/>
            </w:tcBorders>
            <w:shd w:val="clear" w:color="000000" w:fill="F2F2F2"/>
            <w:vAlign w:val="center"/>
          </w:tcPr>
          <w:p w14:paraId="1909CA75"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27A8BBBA" w14:textId="77777777" w:rsidR="008402DA" w:rsidRDefault="008402DA" w:rsidP="005137AB">
            <w:pPr>
              <w:spacing w:after="0" w:line="240" w:lineRule="auto"/>
              <w:jc w:val="center"/>
              <w:rPr>
                <w:rFonts w:ascii="Times New Roman" w:eastAsia="Times New Roman" w:hAnsi="Times New Roman" w:cs="Times New Roman"/>
                <w:b/>
                <w:bCs/>
                <w:sz w:val="20"/>
                <w:szCs w:val="20"/>
                <w:lang w:eastAsia="hr-HR"/>
              </w:rPr>
            </w:pPr>
          </w:p>
        </w:tc>
        <w:tc>
          <w:tcPr>
            <w:tcW w:w="992" w:type="dxa"/>
            <w:tcBorders>
              <w:top w:val="nil"/>
              <w:left w:val="nil"/>
              <w:bottom w:val="single" w:sz="4" w:space="0" w:color="auto"/>
              <w:right w:val="single" w:sz="4" w:space="0" w:color="auto"/>
            </w:tcBorders>
            <w:shd w:val="clear" w:color="000000" w:fill="F2F2F2"/>
            <w:vAlign w:val="center"/>
          </w:tcPr>
          <w:p w14:paraId="0F36A484" w14:textId="77777777" w:rsidR="008402DA" w:rsidRDefault="008402DA" w:rsidP="005137AB">
            <w:pPr>
              <w:spacing w:after="0" w:line="240" w:lineRule="auto"/>
              <w:jc w:val="center"/>
              <w:rPr>
                <w:rFonts w:ascii="Times New Roman" w:eastAsia="Times New Roman" w:hAnsi="Times New Roman" w:cs="Times New Roman"/>
                <w:b/>
                <w:bCs/>
                <w:sz w:val="20"/>
                <w:szCs w:val="20"/>
                <w:lang w:eastAsia="hr-HR"/>
              </w:rPr>
            </w:pPr>
          </w:p>
        </w:tc>
      </w:tr>
      <w:tr w:rsidR="008402DA" w:rsidRPr="004665E0" w14:paraId="3DB54505" w14:textId="77777777" w:rsidTr="005137AB">
        <w:trPr>
          <w:trHeight w:val="409"/>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6F1DCA00" w14:textId="77777777" w:rsidR="008402DA" w:rsidRPr="004665E0" w:rsidRDefault="008402DA" w:rsidP="005137AB">
            <w:pPr>
              <w:spacing w:after="0" w:line="240" w:lineRule="auto"/>
              <w:jc w:val="right"/>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iCs/>
                <w:sz w:val="20"/>
                <w:szCs w:val="20"/>
                <w:lang w:eastAsia="hr-HR"/>
              </w:rPr>
              <w:t>OBVEZNICI: UKUPNO</w:t>
            </w:r>
          </w:p>
        </w:tc>
        <w:tc>
          <w:tcPr>
            <w:tcW w:w="992" w:type="dxa"/>
            <w:tcBorders>
              <w:top w:val="nil"/>
              <w:left w:val="nil"/>
              <w:bottom w:val="single" w:sz="4" w:space="0" w:color="auto"/>
              <w:right w:val="single" w:sz="4" w:space="0" w:color="auto"/>
            </w:tcBorders>
            <w:shd w:val="clear" w:color="000000" w:fill="DDEBF7"/>
            <w:vAlign w:val="center"/>
          </w:tcPr>
          <w:p w14:paraId="64DB431B"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sz w:val="20"/>
                <w:szCs w:val="20"/>
                <w:lang w:eastAsia="hr-HR"/>
              </w:rPr>
              <w:t>3217</w:t>
            </w:r>
          </w:p>
        </w:tc>
        <w:tc>
          <w:tcPr>
            <w:tcW w:w="992" w:type="dxa"/>
            <w:tcBorders>
              <w:top w:val="nil"/>
              <w:left w:val="nil"/>
              <w:bottom w:val="single" w:sz="4" w:space="0" w:color="auto"/>
              <w:right w:val="single" w:sz="4" w:space="0" w:color="auto"/>
            </w:tcBorders>
            <w:shd w:val="clear" w:color="000000" w:fill="DDEBF7"/>
            <w:vAlign w:val="center"/>
          </w:tcPr>
          <w:p w14:paraId="4AAA4C3B"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sz w:val="20"/>
                <w:szCs w:val="20"/>
                <w:lang w:eastAsia="hr-HR"/>
              </w:rPr>
              <w:t>13</w:t>
            </w:r>
          </w:p>
        </w:tc>
        <w:tc>
          <w:tcPr>
            <w:tcW w:w="1134" w:type="dxa"/>
            <w:tcBorders>
              <w:top w:val="nil"/>
              <w:left w:val="nil"/>
              <w:bottom w:val="single" w:sz="4" w:space="0" w:color="auto"/>
              <w:right w:val="single" w:sz="4" w:space="0" w:color="auto"/>
            </w:tcBorders>
            <w:shd w:val="clear" w:color="000000" w:fill="DDEBF7"/>
            <w:vAlign w:val="center"/>
          </w:tcPr>
          <w:p w14:paraId="023B6315"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3225</w:t>
            </w:r>
          </w:p>
        </w:tc>
        <w:tc>
          <w:tcPr>
            <w:tcW w:w="992" w:type="dxa"/>
            <w:tcBorders>
              <w:top w:val="nil"/>
              <w:left w:val="nil"/>
              <w:bottom w:val="single" w:sz="4" w:space="0" w:color="auto"/>
              <w:right w:val="single" w:sz="4" w:space="0" w:color="auto"/>
            </w:tcBorders>
            <w:shd w:val="clear" w:color="000000" w:fill="DDEBF7"/>
            <w:vAlign w:val="center"/>
          </w:tcPr>
          <w:p w14:paraId="3B54C278"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16</w:t>
            </w:r>
          </w:p>
        </w:tc>
      </w:tr>
      <w:tr w:rsidR="008402DA" w:rsidRPr="004665E0" w14:paraId="3D673119" w14:textId="77777777" w:rsidTr="0069052D">
        <w:trPr>
          <w:trHeight w:hRule="exact" w:val="267"/>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6E25AFF9" w14:textId="0A68F7E3" w:rsidR="008402DA" w:rsidRPr="004665E0" w:rsidRDefault="008402DA" w:rsidP="008C5D12">
            <w:pPr>
              <w:spacing w:after="0" w:line="240" w:lineRule="auto"/>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iCs/>
                <w:sz w:val="20"/>
                <w:szCs w:val="20"/>
                <w:lang w:eastAsia="hr-HR"/>
              </w:rPr>
              <w:t xml:space="preserve">2. </w:t>
            </w:r>
            <w:r w:rsidR="008C5D12">
              <w:rPr>
                <w:rFonts w:ascii="Times New Roman" w:eastAsia="Times New Roman" w:hAnsi="Times New Roman" w:cs="Times New Roman"/>
                <w:b/>
                <w:bCs/>
                <w:iCs/>
                <w:sz w:val="20"/>
                <w:szCs w:val="20"/>
                <w:lang w:eastAsia="hr-HR"/>
              </w:rPr>
              <w:t>NADLEŽNA</w:t>
            </w:r>
            <w:r w:rsidRPr="004665E0">
              <w:rPr>
                <w:rFonts w:ascii="Times New Roman" w:eastAsia="Times New Roman" w:hAnsi="Times New Roman" w:cs="Times New Roman"/>
                <w:b/>
                <w:bCs/>
                <w:iCs/>
                <w:sz w:val="20"/>
                <w:szCs w:val="20"/>
                <w:lang w:eastAsia="hr-HR"/>
              </w:rPr>
              <w:t xml:space="preserve"> TIJELA</w:t>
            </w:r>
          </w:p>
        </w:tc>
        <w:tc>
          <w:tcPr>
            <w:tcW w:w="992" w:type="dxa"/>
            <w:tcBorders>
              <w:top w:val="nil"/>
              <w:left w:val="nil"/>
              <w:bottom w:val="single" w:sz="4" w:space="0" w:color="auto"/>
              <w:right w:val="single" w:sz="4" w:space="0" w:color="auto"/>
            </w:tcBorders>
            <w:shd w:val="clear" w:color="000000" w:fill="DDEBF7"/>
            <w:vAlign w:val="center"/>
          </w:tcPr>
          <w:p w14:paraId="36DCD786"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iCs/>
                <w:sz w:val="20"/>
                <w:szCs w:val="20"/>
                <w:lang w:eastAsia="hr-HR"/>
              </w:rPr>
              <w:t>PN</w:t>
            </w:r>
          </w:p>
        </w:tc>
        <w:tc>
          <w:tcPr>
            <w:tcW w:w="992" w:type="dxa"/>
            <w:tcBorders>
              <w:top w:val="nil"/>
              <w:left w:val="nil"/>
              <w:bottom w:val="single" w:sz="4" w:space="0" w:color="auto"/>
              <w:right w:val="single" w:sz="4" w:space="0" w:color="auto"/>
            </w:tcBorders>
            <w:shd w:val="clear" w:color="000000" w:fill="DDEBF7"/>
            <w:vAlign w:val="center"/>
          </w:tcPr>
          <w:p w14:paraId="5144F117"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iCs/>
                <w:sz w:val="20"/>
                <w:szCs w:val="20"/>
                <w:lang w:eastAsia="hr-HR"/>
              </w:rPr>
              <w:t>FT</w:t>
            </w:r>
          </w:p>
        </w:tc>
        <w:tc>
          <w:tcPr>
            <w:tcW w:w="1134" w:type="dxa"/>
            <w:tcBorders>
              <w:top w:val="nil"/>
              <w:left w:val="nil"/>
              <w:bottom w:val="single" w:sz="4" w:space="0" w:color="auto"/>
              <w:right w:val="single" w:sz="4" w:space="0" w:color="auto"/>
            </w:tcBorders>
            <w:shd w:val="clear" w:color="000000" w:fill="DDEBF7"/>
            <w:vAlign w:val="center"/>
          </w:tcPr>
          <w:p w14:paraId="5CE1EF26"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iCs/>
                <w:sz w:val="20"/>
                <w:szCs w:val="20"/>
                <w:lang w:eastAsia="hr-HR"/>
              </w:rPr>
              <w:t>PN</w:t>
            </w:r>
          </w:p>
        </w:tc>
        <w:tc>
          <w:tcPr>
            <w:tcW w:w="992" w:type="dxa"/>
            <w:tcBorders>
              <w:top w:val="nil"/>
              <w:left w:val="nil"/>
              <w:bottom w:val="single" w:sz="4" w:space="0" w:color="auto"/>
              <w:right w:val="single" w:sz="4" w:space="0" w:color="auto"/>
            </w:tcBorders>
            <w:shd w:val="clear" w:color="000000" w:fill="DDEBF7"/>
            <w:vAlign w:val="center"/>
          </w:tcPr>
          <w:p w14:paraId="62A05EF1" w14:textId="77777777" w:rsidR="008402DA" w:rsidRPr="004665E0" w:rsidRDefault="008402DA" w:rsidP="005137AB">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iCs/>
                <w:sz w:val="20"/>
                <w:szCs w:val="20"/>
                <w:lang w:eastAsia="hr-HR"/>
              </w:rPr>
              <w:t>FT</w:t>
            </w:r>
          </w:p>
        </w:tc>
      </w:tr>
      <w:tr w:rsidR="008402DA" w:rsidRPr="004665E0" w14:paraId="5A0B8FA2"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3AD354FD" w14:textId="77777777" w:rsidR="008402DA" w:rsidRPr="004665E0" w:rsidRDefault="008402DA" w:rsidP="005137AB">
            <w:pPr>
              <w:spacing w:after="0" w:line="240" w:lineRule="auto"/>
              <w:rPr>
                <w:rFonts w:ascii="Times New Roman" w:eastAsia="Times New Roman" w:hAnsi="Times New Roman" w:cs="Times New Roman"/>
                <w:bCs/>
                <w:sz w:val="20"/>
                <w:szCs w:val="20"/>
                <w:lang w:eastAsia="hr-HR"/>
              </w:rPr>
            </w:pPr>
            <w:r w:rsidRPr="004665E0">
              <w:rPr>
                <w:rFonts w:ascii="Times New Roman" w:eastAsia="Times New Roman" w:hAnsi="Times New Roman" w:cs="Times New Roman"/>
                <w:bCs/>
                <w:iCs/>
                <w:sz w:val="20"/>
                <w:szCs w:val="20"/>
                <w:lang w:eastAsia="hr-HR"/>
              </w:rPr>
              <w:t>MUP</w:t>
            </w:r>
          </w:p>
        </w:tc>
        <w:tc>
          <w:tcPr>
            <w:tcW w:w="992" w:type="dxa"/>
            <w:tcBorders>
              <w:top w:val="nil"/>
              <w:left w:val="nil"/>
              <w:bottom w:val="single" w:sz="4" w:space="0" w:color="auto"/>
              <w:right w:val="single" w:sz="4" w:space="0" w:color="auto"/>
            </w:tcBorders>
            <w:shd w:val="clear" w:color="000000" w:fill="F2F2F2"/>
            <w:vAlign w:val="center"/>
          </w:tcPr>
          <w:p w14:paraId="58703DA2" w14:textId="069C1499" w:rsidR="008402DA" w:rsidRPr="00983C42" w:rsidRDefault="00983C42" w:rsidP="005137AB">
            <w:pPr>
              <w:spacing w:after="0" w:line="240" w:lineRule="auto"/>
              <w:jc w:val="center"/>
              <w:rPr>
                <w:rFonts w:ascii="Times New Roman" w:eastAsia="Times New Roman" w:hAnsi="Times New Roman" w:cs="Times New Roman"/>
                <w:b/>
                <w:bCs/>
                <w:sz w:val="20"/>
                <w:szCs w:val="20"/>
                <w:lang w:eastAsia="hr-HR"/>
              </w:rPr>
            </w:pPr>
            <w:r w:rsidRPr="00983C42">
              <w:rPr>
                <w:rFonts w:ascii="Times New Roman" w:eastAsia="Times New Roman" w:hAnsi="Times New Roman" w:cs="Times New Roman"/>
                <w:b/>
                <w:bCs/>
                <w:sz w:val="20"/>
                <w:szCs w:val="20"/>
                <w:lang w:eastAsia="hr-HR"/>
              </w:rPr>
              <w:t>115</w:t>
            </w:r>
          </w:p>
        </w:tc>
        <w:tc>
          <w:tcPr>
            <w:tcW w:w="992" w:type="dxa"/>
            <w:tcBorders>
              <w:top w:val="nil"/>
              <w:left w:val="nil"/>
              <w:bottom w:val="single" w:sz="4" w:space="0" w:color="auto"/>
              <w:right w:val="single" w:sz="4" w:space="0" w:color="auto"/>
            </w:tcBorders>
            <w:shd w:val="clear" w:color="000000" w:fill="F2F2F2"/>
            <w:vAlign w:val="center"/>
          </w:tcPr>
          <w:p w14:paraId="64F953E1" w14:textId="7C29D8B3" w:rsidR="008402DA" w:rsidRPr="00983C42" w:rsidRDefault="00983C42"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w:t>
            </w:r>
          </w:p>
        </w:tc>
        <w:tc>
          <w:tcPr>
            <w:tcW w:w="1134" w:type="dxa"/>
            <w:tcBorders>
              <w:top w:val="nil"/>
              <w:left w:val="nil"/>
              <w:bottom w:val="single" w:sz="4" w:space="0" w:color="auto"/>
              <w:right w:val="single" w:sz="4" w:space="0" w:color="auto"/>
            </w:tcBorders>
            <w:shd w:val="clear" w:color="000000" w:fill="F2F2F2"/>
            <w:vAlign w:val="center"/>
          </w:tcPr>
          <w:p w14:paraId="4C13CB62" w14:textId="77777777" w:rsidR="008402DA" w:rsidRPr="004665E0" w:rsidRDefault="005240EC"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149</w:t>
            </w:r>
          </w:p>
        </w:tc>
        <w:tc>
          <w:tcPr>
            <w:tcW w:w="992" w:type="dxa"/>
            <w:tcBorders>
              <w:top w:val="nil"/>
              <w:left w:val="nil"/>
              <w:bottom w:val="single" w:sz="4" w:space="0" w:color="auto"/>
              <w:right w:val="single" w:sz="4" w:space="0" w:color="auto"/>
            </w:tcBorders>
            <w:shd w:val="clear" w:color="000000" w:fill="F2F2F2"/>
            <w:vAlign w:val="center"/>
          </w:tcPr>
          <w:p w14:paraId="2E6E56FA" w14:textId="77777777" w:rsidR="008402DA" w:rsidRPr="004665E0" w:rsidRDefault="005240EC"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w:t>
            </w:r>
          </w:p>
        </w:tc>
      </w:tr>
      <w:tr w:rsidR="008402DA" w:rsidRPr="004665E0" w14:paraId="64B808C1"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08921964" w14:textId="77777777" w:rsidR="008402DA" w:rsidRPr="004665E0" w:rsidRDefault="008402DA" w:rsidP="005137AB">
            <w:pPr>
              <w:spacing w:after="0" w:line="240" w:lineRule="auto"/>
              <w:rPr>
                <w:rFonts w:ascii="Times New Roman" w:eastAsia="Times New Roman" w:hAnsi="Times New Roman" w:cs="Times New Roman"/>
                <w:bCs/>
                <w:sz w:val="20"/>
                <w:szCs w:val="20"/>
                <w:lang w:eastAsia="hr-HR"/>
              </w:rPr>
            </w:pPr>
            <w:r w:rsidRPr="004665E0">
              <w:rPr>
                <w:rFonts w:ascii="Times New Roman" w:eastAsia="Times New Roman" w:hAnsi="Times New Roman" w:cs="Times New Roman"/>
                <w:bCs/>
                <w:iCs/>
                <w:sz w:val="20"/>
                <w:szCs w:val="20"/>
                <w:lang w:eastAsia="hr-HR"/>
              </w:rPr>
              <w:t>USKOK</w:t>
            </w:r>
          </w:p>
        </w:tc>
        <w:tc>
          <w:tcPr>
            <w:tcW w:w="992" w:type="dxa"/>
            <w:tcBorders>
              <w:top w:val="nil"/>
              <w:left w:val="nil"/>
              <w:bottom w:val="single" w:sz="4" w:space="0" w:color="auto"/>
              <w:right w:val="single" w:sz="4" w:space="0" w:color="auto"/>
            </w:tcBorders>
            <w:shd w:val="clear" w:color="000000" w:fill="F2F2F2"/>
            <w:vAlign w:val="center"/>
          </w:tcPr>
          <w:p w14:paraId="67E4B524" w14:textId="27F39746" w:rsidR="008402DA" w:rsidRPr="00983C42" w:rsidRDefault="00983C42"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15</w:t>
            </w:r>
          </w:p>
        </w:tc>
        <w:tc>
          <w:tcPr>
            <w:tcW w:w="992" w:type="dxa"/>
            <w:tcBorders>
              <w:top w:val="nil"/>
              <w:left w:val="nil"/>
              <w:bottom w:val="single" w:sz="4" w:space="0" w:color="auto"/>
              <w:right w:val="single" w:sz="4" w:space="0" w:color="auto"/>
            </w:tcBorders>
            <w:shd w:val="clear" w:color="000000" w:fill="F2F2F2"/>
            <w:vAlign w:val="center"/>
          </w:tcPr>
          <w:p w14:paraId="4C061F89" w14:textId="77777777" w:rsidR="008402DA" w:rsidRPr="00983C42" w:rsidRDefault="008402DA" w:rsidP="005137AB">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21F4B578" w14:textId="77777777" w:rsidR="008402DA" w:rsidRPr="00CD279E" w:rsidRDefault="005240EC"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10</w:t>
            </w:r>
          </w:p>
        </w:tc>
        <w:tc>
          <w:tcPr>
            <w:tcW w:w="992" w:type="dxa"/>
            <w:tcBorders>
              <w:top w:val="nil"/>
              <w:left w:val="nil"/>
              <w:bottom w:val="single" w:sz="4" w:space="0" w:color="auto"/>
              <w:right w:val="single" w:sz="4" w:space="0" w:color="auto"/>
            </w:tcBorders>
            <w:shd w:val="clear" w:color="000000" w:fill="F2F2F2"/>
            <w:vAlign w:val="center"/>
          </w:tcPr>
          <w:p w14:paraId="43E2893F" w14:textId="77777777" w:rsidR="008402DA" w:rsidRPr="00CD279E" w:rsidRDefault="008402DA" w:rsidP="005137AB">
            <w:pPr>
              <w:spacing w:after="0" w:line="240" w:lineRule="auto"/>
              <w:jc w:val="center"/>
              <w:rPr>
                <w:rFonts w:ascii="Times New Roman" w:eastAsia="Times New Roman" w:hAnsi="Times New Roman" w:cs="Times New Roman"/>
                <w:b/>
                <w:bCs/>
                <w:sz w:val="20"/>
                <w:szCs w:val="20"/>
                <w:highlight w:val="red"/>
                <w:lang w:eastAsia="hr-HR"/>
              </w:rPr>
            </w:pPr>
          </w:p>
        </w:tc>
      </w:tr>
      <w:tr w:rsidR="008402DA" w:rsidRPr="004665E0" w14:paraId="7A1CDF7A"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tcPr>
          <w:p w14:paraId="0334D046" w14:textId="77777777" w:rsidR="008402DA" w:rsidRPr="004665E0" w:rsidRDefault="008402DA" w:rsidP="005137AB">
            <w:pPr>
              <w:spacing w:after="0" w:line="240" w:lineRule="auto"/>
              <w:rPr>
                <w:rFonts w:ascii="Times New Roman" w:eastAsia="Times New Roman" w:hAnsi="Times New Roman" w:cs="Times New Roman"/>
                <w:bCs/>
                <w:iCs/>
                <w:sz w:val="20"/>
                <w:szCs w:val="20"/>
                <w:lang w:eastAsia="hr-HR"/>
              </w:rPr>
            </w:pPr>
            <w:r>
              <w:rPr>
                <w:rFonts w:ascii="Times New Roman" w:eastAsia="Times New Roman" w:hAnsi="Times New Roman" w:cs="Times New Roman"/>
                <w:bCs/>
                <w:iCs/>
                <w:sz w:val="20"/>
                <w:szCs w:val="20"/>
                <w:lang w:eastAsia="hr-HR"/>
              </w:rPr>
              <w:t>URED DELEGIRANOG EUROPSKOG TUŽITELJA U RH</w:t>
            </w:r>
          </w:p>
        </w:tc>
        <w:tc>
          <w:tcPr>
            <w:tcW w:w="992" w:type="dxa"/>
            <w:tcBorders>
              <w:top w:val="nil"/>
              <w:left w:val="nil"/>
              <w:bottom w:val="single" w:sz="4" w:space="0" w:color="auto"/>
              <w:right w:val="single" w:sz="4" w:space="0" w:color="auto"/>
            </w:tcBorders>
            <w:shd w:val="clear" w:color="000000" w:fill="F2F2F2"/>
            <w:vAlign w:val="center"/>
          </w:tcPr>
          <w:p w14:paraId="1C26C015" w14:textId="19CDC8F7" w:rsidR="008402DA" w:rsidRPr="00983C42" w:rsidRDefault="00983C42"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w:t>
            </w:r>
          </w:p>
        </w:tc>
        <w:tc>
          <w:tcPr>
            <w:tcW w:w="992" w:type="dxa"/>
            <w:tcBorders>
              <w:top w:val="nil"/>
              <w:left w:val="nil"/>
              <w:bottom w:val="single" w:sz="4" w:space="0" w:color="auto"/>
              <w:right w:val="single" w:sz="4" w:space="0" w:color="auto"/>
            </w:tcBorders>
            <w:shd w:val="clear" w:color="000000" w:fill="F2F2F2"/>
            <w:vAlign w:val="center"/>
          </w:tcPr>
          <w:p w14:paraId="15A3B762" w14:textId="77777777" w:rsidR="008402DA" w:rsidRPr="00983C42" w:rsidRDefault="008402DA" w:rsidP="005137AB">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44BED53C" w14:textId="77777777" w:rsidR="008402DA" w:rsidRPr="00CD279E" w:rsidRDefault="008402DA" w:rsidP="005137AB">
            <w:pPr>
              <w:spacing w:after="0" w:line="240" w:lineRule="auto"/>
              <w:jc w:val="center"/>
              <w:rPr>
                <w:rFonts w:ascii="Times New Roman" w:eastAsia="Times New Roman" w:hAnsi="Times New Roman" w:cs="Times New Roman"/>
                <w:b/>
                <w:bCs/>
                <w:sz w:val="20"/>
                <w:szCs w:val="20"/>
                <w:lang w:eastAsia="hr-HR"/>
              </w:rPr>
            </w:pPr>
            <w:r w:rsidRPr="00CD279E">
              <w:rPr>
                <w:rFonts w:ascii="Times New Roman" w:eastAsia="Times New Roman" w:hAnsi="Times New Roman" w:cs="Times New Roman"/>
                <w:b/>
                <w:bCs/>
                <w:sz w:val="20"/>
                <w:szCs w:val="20"/>
                <w:lang w:eastAsia="hr-HR"/>
              </w:rPr>
              <w:t>2</w:t>
            </w:r>
          </w:p>
        </w:tc>
        <w:tc>
          <w:tcPr>
            <w:tcW w:w="992" w:type="dxa"/>
            <w:tcBorders>
              <w:top w:val="nil"/>
              <w:left w:val="nil"/>
              <w:bottom w:val="single" w:sz="4" w:space="0" w:color="auto"/>
              <w:right w:val="single" w:sz="4" w:space="0" w:color="auto"/>
            </w:tcBorders>
            <w:shd w:val="clear" w:color="000000" w:fill="F2F2F2"/>
            <w:vAlign w:val="center"/>
          </w:tcPr>
          <w:p w14:paraId="68074632" w14:textId="77777777" w:rsidR="008402DA" w:rsidRPr="00CD279E" w:rsidRDefault="008402DA" w:rsidP="005137AB">
            <w:pPr>
              <w:spacing w:after="0" w:line="240" w:lineRule="auto"/>
              <w:jc w:val="center"/>
              <w:rPr>
                <w:rFonts w:ascii="Times New Roman" w:eastAsia="Times New Roman" w:hAnsi="Times New Roman" w:cs="Times New Roman"/>
                <w:b/>
                <w:bCs/>
                <w:sz w:val="20"/>
                <w:szCs w:val="20"/>
                <w:highlight w:val="red"/>
                <w:lang w:eastAsia="hr-HR"/>
              </w:rPr>
            </w:pPr>
          </w:p>
        </w:tc>
      </w:tr>
      <w:tr w:rsidR="008402DA" w:rsidRPr="004665E0" w14:paraId="28D91199"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40B63A11" w14:textId="77777777" w:rsidR="008402DA" w:rsidRPr="004665E0" w:rsidRDefault="008402DA" w:rsidP="005137AB">
            <w:pPr>
              <w:spacing w:after="0" w:line="240" w:lineRule="auto"/>
              <w:rPr>
                <w:rFonts w:ascii="Times New Roman" w:eastAsia="Times New Roman" w:hAnsi="Times New Roman" w:cs="Times New Roman"/>
                <w:bCs/>
                <w:sz w:val="20"/>
                <w:szCs w:val="20"/>
                <w:lang w:eastAsia="hr-HR"/>
              </w:rPr>
            </w:pPr>
            <w:r w:rsidRPr="004665E0">
              <w:rPr>
                <w:rFonts w:ascii="Times New Roman" w:eastAsia="Times New Roman" w:hAnsi="Times New Roman" w:cs="Times New Roman"/>
                <w:bCs/>
                <w:iCs/>
                <w:sz w:val="20"/>
                <w:szCs w:val="20"/>
                <w:lang w:eastAsia="hr-HR"/>
              </w:rPr>
              <w:t xml:space="preserve">POREZNA UPRAVA </w:t>
            </w:r>
          </w:p>
        </w:tc>
        <w:tc>
          <w:tcPr>
            <w:tcW w:w="992" w:type="dxa"/>
            <w:tcBorders>
              <w:top w:val="nil"/>
              <w:left w:val="nil"/>
              <w:bottom w:val="single" w:sz="4" w:space="0" w:color="auto"/>
              <w:right w:val="single" w:sz="4" w:space="0" w:color="auto"/>
            </w:tcBorders>
            <w:shd w:val="clear" w:color="000000" w:fill="F2F2F2"/>
            <w:vAlign w:val="center"/>
          </w:tcPr>
          <w:p w14:paraId="29DE63A3" w14:textId="4D91E4AB" w:rsidR="008402DA" w:rsidRPr="00983C42" w:rsidRDefault="00983C42"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w:t>
            </w:r>
          </w:p>
        </w:tc>
        <w:tc>
          <w:tcPr>
            <w:tcW w:w="992" w:type="dxa"/>
            <w:tcBorders>
              <w:top w:val="nil"/>
              <w:left w:val="nil"/>
              <w:bottom w:val="single" w:sz="4" w:space="0" w:color="auto"/>
              <w:right w:val="single" w:sz="4" w:space="0" w:color="auto"/>
            </w:tcBorders>
            <w:shd w:val="clear" w:color="000000" w:fill="F2F2F2"/>
            <w:vAlign w:val="center"/>
          </w:tcPr>
          <w:p w14:paraId="53A1264D" w14:textId="77777777" w:rsidR="008402DA" w:rsidRPr="00983C42" w:rsidRDefault="008402DA" w:rsidP="005137AB">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684739C0" w14:textId="77777777" w:rsidR="008402DA" w:rsidRPr="00CD279E" w:rsidRDefault="005240EC"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w:t>
            </w:r>
          </w:p>
        </w:tc>
        <w:tc>
          <w:tcPr>
            <w:tcW w:w="992" w:type="dxa"/>
            <w:tcBorders>
              <w:top w:val="nil"/>
              <w:left w:val="nil"/>
              <w:bottom w:val="single" w:sz="4" w:space="0" w:color="auto"/>
              <w:right w:val="single" w:sz="4" w:space="0" w:color="auto"/>
            </w:tcBorders>
            <w:shd w:val="clear" w:color="000000" w:fill="F2F2F2"/>
            <w:vAlign w:val="center"/>
          </w:tcPr>
          <w:p w14:paraId="0F7F7C87" w14:textId="77777777" w:rsidR="008402DA" w:rsidRPr="00CD279E" w:rsidRDefault="008402DA" w:rsidP="005137AB">
            <w:pPr>
              <w:spacing w:after="0" w:line="240" w:lineRule="auto"/>
              <w:jc w:val="center"/>
              <w:rPr>
                <w:rFonts w:ascii="Times New Roman" w:eastAsia="Times New Roman" w:hAnsi="Times New Roman" w:cs="Times New Roman"/>
                <w:b/>
                <w:bCs/>
                <w:sz w:val="20"/>
                <w:szCs w:val="20"/>
                <w:highlight w:val="red"/>
                <w:lang w:eastAsia="hr-HR"/>
              </w:rPr>
            </w:pPr>
          </w:p>
        </w:tc>
      </w:tr>
      <w:tr w:rsidR="008402DA" w:rsidRPr="004665E0" w14:paraId="2C9FBECF"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2A84EA28" w14:textId="77777777" w:rsidR="008402DA" w:rsidRPr="004665E0" w:rsidRDefault="008402DA" w:rsidP="005137AB">
            <w:pPr>
              <w:spacing w:after="0" w:line="240" w:lineRule="auto"/>
              <w:rPr>
                <w:rFonts w:ascii="Times New Roman" w:eastAsia="Times New Roman" w:hAnsi="Times New Roman" w:cs="Times New Roman"/>
                <w:bCs/>
                <w:sz w:val="20"/>
                <w:szCs w:val="20"/>
                <w:lang w:eastAsia="hr-HR"/>
              </w:rPr>
            </w:pPr>
            <w:r w:rsidRPr="004665E0">
              <w:rPr>
                <w:rFonts w:ascii="Times New Roman" w:eastAsia="Times New Roman" w:hAnsi="Times New Roman" w:cs="Times New Roman"/>
                <w:bCs/>
                <w:iCs/>
                <w:sz w:val="20"/>
                <w:szCs w:val="20"/>
                <w:lang w:eastAsia="hr-HR"/>
              </w:rPr>
              <w:t>CARINSKA UPRAVA</w:t>
            </w:r>
          </w:p>
        </w:tc>
        <w:tc>
          <w:tcPr>
            <w:tcW w:w="992" w:type="dxa"/>
            <w:tcBorders>
              <w:top w:val="nil"/>
              <w:left w:val="nil"/>
              <w:bottom w:val="single" w:sz="4" w:space="0" w:color="auto"/>
              <w:right w:val="single" w:sz="4" w:space="0" w:color="auto"/>
            </w:tcBorders>
            <w:shd w:val="clear" w:color="000000" w:fill="F2F2F2"/>
            <w:vAlign w:val="center"/>
          </w:tcPr>
          <w:p w14:paraId="4817D6A0" w14:textId="65E5718A" w:rsidR="008402DA" w:rsidRPr="00983C42" w:rsidRDefault="00983C42"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7</w:t>
            </w:r>
          </w:p>
        </w:tc>
        <w:tc>
          <w:tcPr>
            <w:tcW w:w="992" w:type="dxa"/>
            <w:tcBorders>
              <w:top w:val="nil"/>
              <w:left w:val="nil"/>
              <w:bottom w:val="single" w:sz="4" w:space="0" w:color="auto"/>
              <w:right w:val="single" w:sz="4" w:space="0" w:color="auto"/>
            </w:tcBorders>
            <w:shd w:val="clear" w:color="000000" w:fill="F2F2F2"/>
            <w:vAlign w:val="center"/>
          </w:tcPr>
          <w:p w14:paraId="559186A6" w14:textId="77777777" w:rsidR="008402DA" w:rsidRPr="00983C42" w:rsidRDefault="008402DA" w:rsidP="005137AB">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4AE775EE" w14:textId="77777777" w:rsidR="008402DA" w:rsidRPr="00CD279E" w:rsidRDefault="005240EC"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w:t>
            </w:r>
          </w:p>
        </w:tc>
        <w:tc>
          <w:tcPr>
            <w:tcW w:w="992" w:type="dxa"/>
            <w:tcBorders>
              <w:top w:val="nil"/>
              <w:left w:val="nil"/>
              <w:bottom w:val="single" w:sz="4" w:space="0" w:color="auto"/>
              <w:right w:val="single" w:sz="4" w:space="0" w:color="auto"/>
            </w:tcBorders>
            <w:shd w:val="clear" w:color="000000" w:fill="F2F2F2"/>
            <w:vAlign w:val="center"/>
          </w:tcPr>
          <w:p w14:paraId="2CA40D52" w14:textId="77777777" w:rsidR="008402DA" w:rsidRPr="00CD279E" w:rsidRDefault="008402DA" w:rsidP="005137AB">
            <w:pPr>
              <w:spacing w:after="0" w:line="240" w:lineRule="auto"/>
              <w:jc w:val="center"/>
              <w:rPr>
                <w:rFonts w:ascii="Times New Roman" w:eastAsia="Times New Roman" w:hAnsi="Times New Roman" w:cs="Times New Roman"/>
                <w:b/>
                <w:bCs/>
                <w:sz w:val="20"/>
                <w:szCs w:val="20"/>
                <w:highlight w:val="red"/>
                <w:lang w:eastAsia="hr-HR"/>
              </w:rPr>
            </w:pPr>
          </w:p>
        </w:tc>
      </w:tr>
      <w:tr w:rsidR="008402DA" w:rsidRPr="004665E0" w14:paraId="7C14A67E" w14:textId="77777777" w:rsidTr="005240EC">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tcPr>
          <w:p w14:paraId="0767D1A3" w14:textId="77777777" w:rsidR="008402DA" w:rsidRPr="004665E0" w:rsidRDefault="005240EC" w:rsidP="005137AB">
            <w:pPr>
              <w:spacing w:after="0" w:line="240" w:lineRule="auto"/>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FINANCIJSKI INSPEKTORAT</w:t>
            </w:r>
          </w:p>
        </w:tc>
        <w:tc>
          <w:tcPr>
            <w:tcW w:w="992" w:type="dxa"/>
            <w:tcBorders>
              <w:top w:val="nil"/>
              <w:left w:val="nil"/>
              <w:bottom w:val="single" w:sz="4" w:space="0" w:color="auto"/>
              <w:right w:val="single" w:sz="4" w:space="0" w:color="auto"/>
            </w:tcBorders>
            <w:shd w:val="clear" w:color="000000" w:fill="F2F2F2"/>
            <w:vAlign w:val="center"/>
          </w:tcPr>
          <w:p w14:paraId="34E203CD" w14:textId="62F91C56" w:rsidR="008402DA" w:rsidRPr="00983C42" w:rsidRDefault="00983C42"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w:t>
            </w:r>
          </w:p>
        </w:tc>
        <w:tc>
          <w:tcPr>
            <w:tcW w:w="992" w:type="dxa"/>
            <w:tcBorders>
              <w:top w:val="nil"/>
              <w:left w:val="nil"/>
              <w:bottom w:val="single" w:sz="4" w:space="0" w:color="auto"/>
              <w:right w:val="single" w:sz="4" w:space="0" w:color="auto"/>
            </w:tcBorders>
            <w:shd w:val="clear" w:color="000000" w:fill="F2F2F2"/>
            <w:vAlign w:val="center"/>
          </w:tcPr>
          <w:p w14:paraId="5DB8A20B" w14:textId="77777777" w:rsidR="008402DA" w:rsidRPr="00983C42" w:rsidRDefault="008402DA" w:rsidP="005137AB">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0F2D6048" w14:textId="77777777" w:rsidR="008402DA" w:rsidRPr="00CD279E" w:rsidRDefault="005240EC" w:rsidP="005137A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w:t>
            </w:r>
          </w:p>
        </w:tc>
        <w:tc>
          <w:tcPr>
            <w:tcW w:w="992" w:type="dxa"/>
            <w:tcBorders>
              <w:top w:val="nil"/>
              <w:left w:val="nil"/>
              <w:bottom w:val="single" w:sz="4" w:space="0" w:color="auto"/>
              <w:right w:val="single" w:sz="4" w:space="0" w:color="auto"/>
            </w:tcBorders>
            <w:shd w:val="clear" w:color="000000" w:fill="F2F2F2"/>
            <w:vAlign w:val="center"/>
          </w:tcPr>
          <w:p w14:paraId="5AD36D4A" w14:textId="77777777" w:rsidR="008402DA" w:rsidRPr="00CD279E" w:rsidRDefault="008402DA" w:rsidP="005137AB">
            <w:pPr>
              <w:spacing w:after="0" w:line="240" w:lineRule="auto"/>
              <w:jc w:val="center"/>
              <w:rPr>
                <w:rFonts w:ascii="Times New Roman" w:eastAsia="Times New Roman" w:hAnsi="Times New Roman" w:cs="Times New Roman"/>
                <w:b/>
                <w:bCs/>
                <w:sz w:val="20"/>
                <w:szCs w:val="20"/>
                <w:highlight w:val="red"/>
                <w:lang w:eastAsia="hr-HR"/>
              </w:rPr>
            </w:pPr>
          </w:p>
        </w:tc>
      </w:tr>
      <w:tr w:rsidR="005240EC" w:rsidRPr="004665E0" w14:paraId="1F3C953C"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3F441E38" w14:textId="77777777" w:rsidR="005240EC" w:rsidRPr="004665E0" w:rsidRDefault="005240EC" w:rsidP="005240EC">
            <w:pPr>
              <w:spacing w:after="0" w:line="240" w:lineRule="auto"/>
              <w:rPr>
                <w:rFonts w:ascii="Times New Roman" w:eastAsia="Times New Roman" w:hAnsi="Times New Roman" w:cs="Times New Roman"/>
                <w:bCs/>
                <w:sz w:val="20"/>
                <w:szCs w:val="20"/>
                <w:lang w:eastAsia="hr-HR"/>
              </w:rPr>
            </w:pPr>
            <w:r w:rsidRPr="004665E0">
              <w:rPr>
                <w:rFonts w:ascii="Times New Roman" w:eastAsia="Times New Roman" w:hAnsi="Times New Roman" w:cs="Times New Roman"/>
                <w:bCs/>
                <w:iCs/>
                <w:sz w:val="20"/>
                <w:szCs w:val="20"/>
                <w:lang w:eastAsia="hr-HR"/>
              </w:rPr>
              <w:t>NADLEŽNA DRŽAVNA ODVJETNIŠTVA</w:t>
            </w:r>
          </w:p>
        </w:tc>
        <w:tc>
          <w:tcPr>
            <w:tcW w:w="992" w:type="dxa"/>
            <w:tcBorders>
              <w:top w:val="nil"/>
              <w:left w:val="nil"/>
              <w:bottom w:val="single" w:sz="4" w:space="0" w:color="auto"/>
              <w:right w:val="single" w:sz="4" w:space="0" w:color="auto"/>
            </w:tcBorders>
            <w:shd w:val="clear" w:color="000000" w:fill="F2F2F2"/>
            <w:vAlign w:val="center"/>
          </w:tcPr>
          <w:p w14:paraId="33481A4B" w14:textId="0680DFF1" w:rsidR="005240EC" w:rsidRPr="00983C42" w:rsidRDefault="00983C42" w:rsidP="005240EC">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w:t>
            </w:r>
          </w:p>
        </w:tc>
        <w:tc>
          <w:tcPr>
            <w:tcW w:w="992" w:type="dxa"/>
            <w:tcBorders>
              <w:top w:val="nil"/>
              <w:left w:val="nil"/>
              <w:bottom w:val="single" w:sz="4" w:space="0" w:color="auto"/>
              <w:right w:val="single" w:sz="4" w:space="0" w:color="auto"/>
            </w:tcBorders>
            <w:shd w:val="clear" w:color="000000" w:fill="F2F2F2"/>
            <w:vAlign w:val="center"/>
          </w:tcPr>
          <w:p w14:paraId="702581D1" w14:textId="77777777" w:rsidR="005240EC" w:rsidRPr="00983C42" w:rsidRDefault="005240EC" w:rsidP="005240EC">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69F20F35" w14:textId="77777777" w:rsidR="005240EC" w:rsidRPr="00CD279E" w:rsidRDefault="005240EC" w:rsidP="005240EC">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11</w:t>
            </w:r>
          </w:p>
        </w:tc>
        <w:tc>
          <w:tcPr>
            <w:tcW w:w="992" w:type="dxa"/>
            <w:tcBorders>
              <w:top w:val="nil"/>
              <w:left w:val="nil"/>
              <w:bottom w:val="single" w:sz="4" w:space="0" w:color="auto"/>
              <w:right w:val="single" w:sz="4" w:space="0" w:color="auto"/>
            </w:tcBorders>
            <w:shd w:val="clear" w:color="000000" w:fill="F2F2F2"/>
            <w:vAlign w:val="center"/>
          </w:tcPr>
          <w:p w14:paraId="063E4DD5" w14:textId="77777777" w:rsidR="005240EC" w:rsidRPr="00CD279E" w:rsidRDefault="005240EC" w:rsidP="005240EC">
            <w:pPr>
              <w:spacing w:after="0" w:line="240" w:lineRule="auto"/>
              <w:jc w:val="center"/>
              <w:rPr>
                <w:rFonts w:ascii="Times New Roman" w:eastAsia="Times New Roman" w:hAnsi="Times New Roman" w:cs="Times New Roman"/>
                <w:b/>
                <w:bCs/>
                <w:sz w:val="20"/>
                <w:szCs w:val="20"/>
                <w:highlight w:val="red"/>
                <w:lang w:eastAsia="hr-HR"/>
              </w:rPr>
            </w:pPr>
          </w:p>
        </w:tc>
      </w:tr>
      <w:tr w:rsidR="005240EC" w:rsidRPr="004665E0" w14:paraId="0FA927A3"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tcPr>
          <w:p w14:paraId="7235E2C1" w14:textId="77777777" w:rsidR="005240EC" w:rsidRDefault="005240EC" w:rsidP="005240EC">
            <w:pPr>
              <w:spacing w:after="0" w:line="240" w:lineRule="auto"/>
              <w:rPr>
                <w:rFonts w:ascii="Times New Roman" w:eastAsia="Times New Roman" w:hAnsi="Times New Roman" w:cs="Times New Roman"/>
                <w:bCs/>
                <w:iCs/>
                <w:sz w:val="20"/>
                <w:szCs w:val="20"/>
                <w:lang w:eastAsia="hr-HR"/>
              </w:rPr>
            </w:pPr>
            <w:r>
              <w:rPr>
                <w:rFonts w:ascii="Times New Roman" w:eastAsia="Times New Roman" w:hAnsi="Times New Roman" w:cs="Times New Roman"/>
                <w:bCs/>
                <w:iCs/>
                <w:sz w:val="20"/>
                <w:szCs w:val="20"/>
                <w:lang w:eastAsia="hr-HR"/>
              </w:rPr>
              <w:t>SIGURNOSNO OBAVJEŠTAJNA AGENCIJA</w:t>
            </w:r>
          </w:p>
        </w:tc>
        <w:tc>
          <w:tcPr>
            <w:tcW w:w="992" w:type="dxa"/>
            <w:tcBorders>
              <w:top w:val="nil"/>
              <w:left w:val="nil"/>
              <w:bottom w:val="single" w:sz="4" w:space="0" w:color="auto"/>
              <w:right w:val="single" w:sz="4" w:space="0" w:color="auto"/>
            </w:tcBorders>
            <w:shd w:val="clear" w:color="000000" w:fill="F2F2F2"/>
            <w:vAlign w:val="center"/>
          </w:tcPr>
          <w:p w14:paraId="1848FCA7" w14:textId="1DBFDED7" w:rsidR="005240EC" w:rsidRPr="00983C42" w:rsidRDefault="00983C42" w:rsidP="005240EC">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w:t>
            </w:r>
          </w:p>
        </w:tc>
        <w:tc>
          <w:tcPr>
            <w:tcW w:w="992" w:type="dxa"/>
            <w:tcBorders>
              <w:top w:val="nil"/>
              <w:left w:val="nil"/>
              <w:bottom w:val="single" w:sz="4" w:space="0" w:color="auto"/>
              <w:right w:val="single" w:sz="4" w:space="0" w:color="auto"/>
            </w:tcBorders>
            <w:shd w:val="clear" w:color="000000" w:fill="F2F2F2"/>
            <w:vAlign w:val="center"/>
          </w:tcPr>
          <w:p w14:paraId="431153EE" w14:textId="26837905" w:rsidR="005240EC" w:rsidRPr="00983C42" w:rsidRDefault="00983C42" w:rsidP="005240EC">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w:t>
            </w:r>
          </w:p>
        </w:tc>
        <w:tc>
          <w:tcPr>
            <w:tcW w:w="1134" w:type="dxa"/>
            <w:tcBorders>
              <w:top w:val="nil"/>
              <w:left w:val="nil"/>
              <w:bottom w:val="single" w:sz="4" w:space="0" w:color="auto"/>
              <w:right w:val="single" w:sz="4" w:space="0" w:color="auto"/>
            </w:tcBorders>
            <w:shd w:val="clear" w:color="000000" w:fill="F2F2F2"/>
            <w:vAlign w:val="center"/>
          </w:tcPr>
          <w:p w14:paraId="0ACDB352" w14:textId="77777777" w:rsidR="005240EC" w:rsidRPr="00CD279E" w:rsidRDefault="005240EC" w:rsidP="005240EC">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w:t>
            </w:r>
          </w:p>
        </w:tc>
        <w:tc>
          <w:tcPr>
            <w:tcW w:w="992" w:type="dxa"/>
            <w:tcBorders>
              <w:top w:val="nil"/>
              <w:left w:val="nil"/>
              <w:bottom w:val="single" w:sz="4" w:space="0" w:color="auto"/>
              <w:right w:val="single" w:sz="4" w:space="0" w:color="auto"/>
            </w:tcBorders>
            <w:shd w:val="clear" w:color="000000" w:fill="F2F2F2"/>
            <w:vAlign w:val="center"/>
          </w:tcPr>
          <w:p w14:paraId="10650CCF" w14:textId="77777777" w:rsidR="005240EC" w:rsidRPr="00CD279E" w:rsidRDefault="005240EC" w:rsidP="005240EC">
            <w:pPr>
              <w:spacing w:after="0" w:line="240" w:lineRule="auto"/>
              <w:jc w:val="center"/>
              <w:rPr>
                <w:rFonts w:ascii="Times New Roman" w:eastAsia="Times New Roman" w:hAnsi="Times New Roman" w:cs="Times New Roman"/>
                <w:b/>
                <w:bCs/>
                <w:sz w:val="20"/>
                <w:szCs w:val="20"/>
                <w:highlight w:val="red"/>
                <w:lang w:eastAsia="hr-HR"/>
              </w:rPr>
            </w:pPr>
          </w:p>
        </w:tc>
      </w:tr>
      <w:tr w:rsidR="005240EC" w:rsidRPr="004665E0" w14:paraId="51858438"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tcPr>
          <w:p w14:paraId="676241CC" w14:textId="77777777" w:rsidR="005240EC" w:rsidRPr="004665E0" w:rsidRDefault="005240EC" w:rsidP="005240EC">
            <w:pPr>
              <w:spacing w:after="0" w:line="240" w:lineRule="auto"/>
              <w:rPr>
                <w:rFonts w:ascii="Times New Roman" w:eastAsia="Times New Roman" w:hAnsi="Times New Roman" w:cs="Times New Roman"/>
                <w:bCs/>
                <w:iCs/>
                <w:sz w:val="20"/>
                <w:szCs w:val="20"/>
                <w:lang w:eastAsia="hr-HR"/>
              </w:rPr>
            </w:pPr>
            <w:r>
              <w:rPr>
                <w:rFonts w:ascii="Times New Roman" w:eastAsia="Times New Roman" w:hAnsi="Times New Roman" w:cs="Times New Roman"/>
                <w:bCs/>
                <w:iCs/>
                <w:sz w:val="20"/>
                <w:szCs w:val="20"/>
                <w:lang w:eastAsia="hr-HR"/>
              </w:rPr>
              <w:t xml:space="preserve">MINISTARSTVO OBRANE </w:t>
            </w:r>
          </w:p>
        </w:tc>
        <w:tc>
          <w:tcPr>
            <w:tcW w:w="992" w:type="dxa"/>
            <w:tcBorders>
              <w:top w:val="nil"/>
              <w:left w:val="nil"/>
              <w:bottom w:val="single" w:sz="4" w:space="0" w:color="auto"/>
              <w:right w:val="single" w:sz="4" w:space="0" w:color="auto"/>
            </w:tcBorders>
            <w:shd w:val="clear" w:color="000000" w:fill="F2F2F2"/>
            <w:vAlign w:val="center"/>
          </w:tcPr>
          <w:p w14:paraId="3F83280B" w14:textId="77777777" w:rsidR="005240EC" w:rsidRPr="00983C42" w:rsidRDefault="005240EC" w:rsidP="005240EC">
            <w:pPr>
              <w:spacing w:after="0" w:line="240" w:lineRule="auto"/>
              <w:jc w:val="center"/>
              <w:rPr>
                <w:rFonts w:ascii="Times New Roman" w:eastAsia="Times New Roman" w:hAnsi="Times New Roman" w:cs="Times New Roman"/>
                <w:b/>
                <w:bCs/>
                <w:sz w:val="20"/>
                <w:szCs w:val="20"/>
                <w:lang w:eastAsia="hr-HR"/>
              </w:rPr>
            </w:pPr>
          </w:p>
        </w:tc>
        <w:tc>
          <w:tcPr>
            <w:tcW w:w="992" w:type="dxa"/>
            <w:tcBorders>
              <w:top w:val="nil"/>
              <w:left w:val="nil"/>
              <w:bottom w:val="single" w:sz="4" w:space="0" w:color="auto"/>
              <w:right w:val="single" w:sz="4" w:space="0" w:color="auto"/>
            </w:tcBorders>
            <w:shd w:val="clear" w:color="000000" w:fill="F2F2F2"/>
            <w:vAlign w:val="center"/>
          </w:tcPr>
          <w:p w14:paraId="25A40E48" w14:textId="77777777" w:rsidR="005240EC" w:rsidRPr="00983C42" w:rsidRDefault="005240EC" w:rsidP="005240EC">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21C4A34B" w14:textId="77777777" w:rsidR="005240EC" w:rsidRPr="00CD279E" w:rsidRDefault="005240EC" w:rsidP="005240EC">
            <w:pPr>
              <w:spacing w:after="0" w:line="240" w:lineRule="auto"/>
              <w:jc w:val="center"/>
              <w:rPr>
                <w:rFonts w:ascii="Times New Roman" w:eastAsia="Times New Roman" w:hAnsi="Times New Roman" w:cs="Times New Roman"/>
                <w:b/>
                <w:bCs/>
                <w:sz w:val="20"/>
                <w:szCs w:val="20"/>
                <w:lang w:eastAsia="hr-HR"/>
              </w:rPr>
            </w:pPr>
            <w:r w:rsidRPr="00CD279E">
              <w:rPr>
                <w:rFonts w:ascii="Times New Roman" w:eastAsia="Times New Roman" w:hAnsi="Times New Roman" w:cs="Times New Roman"/>
                <w:b/>
                <w:bCs/>
                <w:sz w:val="20"/>
                <w:szCs w:val="20"/>
                <w:lang w:eastAsia="hr-HR"/>
              </w:rPr>
              <w:t>1</w:t>
            </w:r>
          </w:p>
        </w:tc>
        <w:tc>
          <w:tcPr>
            <w:tcW w:w="992" w:type="dxa"/>
            <w:tcBorders>
              <w:top w:val="nil"/>
              <w:left w:val="nil"/>
              <w:bottom w:val="single" w:sz="4" w:space="0" w:color="auto"/>
              <w:right w:val="single" w:sz="4" w:space="0" w:color="auto"/>
            </w:tcBorders>
            <w:shd w:val="clear" w:color="000000" w:fill="F2F2F2"/>
            <w:vAlign w:val="center"/>
          </w:tcPr>
          <w:p w14:paraId="0FB9447F" w14:textId="77777777" w:rsidR="005240EC" w:rsidRPr="00CD279E" w:rsidRDefault="005240EC" w:rsidP="005240EC">
            <w:pPr>
              <w:spacing w:after="0" w:line="240" w:lineRule="auto"/>
              <w:jc w:val="center"/>
              <w:rPr>
                <w:rFonts w:ascii="Times New Roman" w:eastAsia="Times New Roman" w:hAnsi="Times New Roman" w:cs="Times New Roman"/>
                <w:b/>
                <w:bCs/>
                <w:sz w:val="20"/>
                <w:szCs w:val="20"/>
                <w:highlight w:val="red"/>
                <w:lang w:eastAsia="hr-HR"/>
              </w:rPr>
            </w:pPr>
          </w:p>
        </w:tc>
      </w:tr>
      <w:tr w:rsidR="005240EC" w:rsidRPr="004665E0" w14:paraId="5C65E920" w14:textId="77777777" w:rsidTr="005240EC">
        <w:trPr>
          <w:trHeight w:hRule="exact" w:val="670"/>
        </w:trPr>
        <w:tc>
          <w:tcPr>
            <w:tcW w:w="4849" w:type="dxa"/>
            <w:tcBorders>
              <w:top w:val="nil"/>
              <w:left w:val="single" w:sz="4" w:space="0" w:color="auto"/>
              <w:bottom w:val="single" w:sz="4" w:space="0" w:color="auto"/>
              <w:right w:val="single" w:sz="4" w:space="0" w:color="auto"/>
            </w:tcBorders>
            <w:shd w:val="clear" w:color="000000" w:fill="DDEBF7"/>
            <w:vAlign w:val="center"/>
          </w:tcPr>
          <w:p w14:paraId="0A2E2825" w14:textId="77777777" w:rsidR="005240EC" w:rsidRPr="004665E0" w:rsidRDefault="005240EC" w:rsidP="005240EC">
            <w:pPr>
              <w:spacing w:after="0" w:line="240" w:lineRule="auto"/>
              <w:rPr>
                <w:rFonts w:ascii="Times New Roman" w:eastAsia="Times New Roman" w:hAnsi="Times New Roman" w:cs="Times New Roman"/>
                <w:bCs/>
                <w:iCs/>
                <w:sz w:val="20"/>
                <w:szCs w:val="20"/>
                <w:lang w:eastAsia="hr-HR"/>
              </w:rPr>
            </w:pPr>
            <w:r>
              <w:rPr>
                <w:rFonts w:ascii="Times New Roman" w:eastAsia="Times New Roman" w:hAnsi="Times New Roman" w:cs="Times New Roman"/>
                <w:bCs/>
                <w:iCs/>
                <w:sz w:val="20"/>
                <w:szCs w:val="20"/>
                <w:lang w:eastAsia="hr-HR"/>
              </w:rPr>
              <w:t>MINISTARSTVO GRADITELJSTVA I PROSTORNOG UREĐENJA</w:t>
            </w:r>
            <w:r w:rsidRPr="00ED7B4C">
              <w:rPr>
                <w:rFonts w:ascii="Times New Roman" w:eastAsia="Times New Roman" w:hAnsi="Times New Roman" w:cs="Times New Roman"/>
                <w:color w:val="000000"/>
                <w:sz w:val="20"/>
                <w:szCs w:val="20"/>
                <w:lang w:eastAsia="hr-HR"/>
              </w:rPr>
              <w:t xml:space="preserve"> </w:t>
            </w:r>
          </w:p>
        </w:tc>
        <w:tc>
          <w:tcPr>
            <w:tcW w:w="992" w:type="dxa"/>
            <w:tcBorders>
              <w:top w:val="nil"/>
              <w:left w:val="nil"/>
              <w:bottom w:val="single" w:sz="4" w:space="0" w:color="auto"/>
              <w:right w:val="single" w:sz="4" w:space="0" w:color="auto"/>
            </w:tcBorders>
            <w:shd w:val="clear" w:color="000000" w:fill="F2F2F2"/>
            <w:vAlign w:val="center"/>
          </w:tcPr>
          <w:p w14:paraId="27C6D814" w14:textId="77777777" w:rsidR="005240EC" w:rsidRPr="00983C42" w:rsidRDefault="005240EC" w:rsidP="005240EC">
            <w:pPr>
              <w:spacing w:after="0" w:line="240" w:lineRule="auto"/>
              <w:jc w:val="center"/>
              <w:rPr>
                <w:rFonts w:ascii="Times New Roman" w:eastAsia="Times New Roman" w:hAnsi="Times New Roman" w:cs="Times New Roman"/>
                <w:b/>
                <w:bCs/>
                <w:sz w:val="20"/>
                <w:szCs w:val="20"/>
                <w:lang w:eastAsia="hr-HR"/>
              </w:rPr>
            </w:pPr>
          </w:p>
        </w:tc>
        <w:tc>
          <w:tcPr>
            <w:tcW w:w="992" w:type="dxa"/>
            <w:tcBorders>
              <w:top w:val="nil"/>
              <w:left w:val="nil"/>
              <w:bottom w:val="single" w:sz="4" w:space="0" w:color="auto"/>
              <w:right w:val="single" w:sz="4" w:space="0" w:color="auto"/>
            </w:tcBorders>
            <w:shd w:val="clear" w:color="000000" w:fill="F2F2F2"/>
            <w:vAlign w:val="center"/>
          </w:tcPr>
          <w:p w14:paraId="125C396E" w14:textId="77777777" w:rsidR="005240EC" w:rsidRPr="00983C42" w:rsidRDefault="005240EC" w:rsidP="005240EC">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7713F358" w14:textId="77777777" w:rsidR="005240EC" w:rsidRPr="00CD279E" w:rsidRDefault="005240EC" w:rsidP="005240EC">
            <w:pPr>
              <w:spacing w:after="0" w:line="240" w:lineRule="auto"/>
              <w:jc w:val="center"/>
              <w:rPr>
                <w:rFonts w:ascii="Times New Roman" w:eastAsia="Times New Roman" w:hAnsi="Times New Roman" w:cs="Times New Roman"/>
                <w:b/>
                <w:bCs/>
                <w:sz w:val="20"/>
                <w:szCs w:val="20"/>
                <w:highlight w:val="red"/>
                <w:lang w:eastAsia="hr-HR"/>
              </w:rPr>
            </w:pPr>
            <w:r w:rsidRPr="005240EC">
              <w:rPr>
                <w:rFonts w:ascii="Times New Roman" w:eastAsia="Times New Roman" w:hAnsi="Times New Roman" w:cs="Times New Roman"/>
                <w:b/>
                <w:bCs/>
                <w:sz w:val="20"/>
                <w:szCs w:val="20"/>
                <w:lang w:eastAsia="hr-HR"/>
              </w:rPr>
              <w:t>1</w:t>
            </w:r>
          </w:p>
        </w:tc>
        <w:tc>
          <w:tcPr>
            <w:tcW w:w="992" w:type="dxa"/>
            <w:tcBorders>
              <w:top w:val="nil"/>
              <w:left w:val="nil"/>
              <w:bottom w:val="single" w:sz="4" w:space="0" w:color="auto"/>
              <w:right w:val="single" w:sz="4" w:space="0" w:color="auto"/>
            </w:tcBorders>
            <w:shd w:val="clear" w:color="000000" w:fill="F2F2F2"/>
            <w:vAlign w:val="center"/>
          </w:tcPr>
          <w:p w14:paraId="536B749F" w14:textId="77777777" w:rsidR="005240EC" w:rsidRPr="00CD279E" w:rsidRDefault="005240EC" w:rsidP="005240EC">
            <w:pPr>
              <w:spacing w:after="0" w:line="240" w:lineRule="auto"/>
              <w:jc w:val="center"/>
              <w:rPr>
                <w:rFonts w:ascii="Times New Roman" w:eastAsia="Times New Roman" w:hAnsi="Times New Roman" w:cs="Times New Roman"/>
                <w:b/>
                <w:bCs/>
                <w:sz w:val="20"/>
                <w:szCs w:val="20"/>
                <w:highlight w:val="red"/>
                <w:lang w:eastAsia="hr-HR"/>
              </w:rPr>
            </w:pPr>
          </w:p>
        </w:tc>
      </w:tr>
      <w:tr w:rsidR="005240EC" w:rsidRPr="004665E0" w14:paraId="008750CA"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tcPr>
          <w:p w14:paraId="4CAD6A02" w14:textId="77777777" w:rsidR="005240EC" w:rsidRPr="004665E0" w:rsidRDefault="005240EC" w:rsidP="005240EC">
            <w:pPr>
              <w:spacing w:after="0" w:line="240" w:lineRule="auto"/>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HRVATSKA NARODNA BANKA</w:t>
            </w:r>
          </w:p>
        </w:tc>
        <w:tc>
          <w:tcPr>
            <w:tcW w:w="992" w:type="dxa"/>
            <w:tcBorders>
              <w:top w:val="nil"/>
              <w:left w:val="nil"/>
              <w:bottom w:val="single" w:sz="4" w:space="0" w:color="auto"/>
              <w:right w:val="single" w:sz="4" w:space="0" w:color="auto"/>
            </w:tcBorders>
            <w:shd w:val="clear" w:color="000000" w:fill="F2F2F2"/>
            <w:vAlign w:val="center"/>
          </w:tcPr>
          <w:p w14:paraId="33C8B275" w14:textId="52D0483E" w:rsidR="005240EC" w:rsidRPr="00983C42" w:rsidRDefault="00983C42" w:rsidP="005240EC">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w:t>
            </w:r>
          </w:p>
        </w:tc>
        <w:tc>
          <w:tcPr>
            <w:tcW w:w="992" w:type="dxa"/>
            <w:tcBorders>
              <w:top w:val="nil"/>
              <w:left w:val="nil"/>
              <w:bottom w:val="single" w:sz="4" w:space="0" w:color="auto"/>
              <w:right w:val="single" w:sz="4" w:space="0" w:color="auto"/>
            </w:tcBorders>
            <w:shd w:val="clear" w:color="000000" w:fill="F2F2F2"/>
            <w:vAlign w:val="center"/>
          </w:tcPr>
          <w:p w14:paraId="35730347" w14:textId="77777777" w:rsidR="005240EC" w:rsidRPr="00983C42" w:rsidRDefault="005240EC" w:rsidP="005240EC">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18518D4B" w14:textId="77777777" w:rsidR="005240EC" w:rsidRPr="00CD279E" w:rsidRDefault="005240EC" w:rsidP="005240EC">
            <w:pPr>
              <w:spacing w:after="0" w:line="240" w:lineRule="auto"/>
              <w:jc w:val="center"/>
              <w:rPr>
                <w:rFonts w:ascii="Times New Roman" w:eastAsia="Times New Roman" w:hAnsi="Times New Roman" w:cs="Times New Roman"/>
                <w:b/>
                <w:bCs/>
                <w:sz w:val="20"/>
                <w:szCs w:val="20"/>
                <w:highlight w:val="red"/>
                <w:lang w:eastAsia="hr-HR"/>
              </w:rPr>
            </w:pPr>
            <w:r w:rsidRPr="005240EC">
              <w:rPr>
                <w:rFonts w:ascii="Times New Roman" w:eastAsia="Times New Roman" w:hAnsi="Times New Roman" w:cs="Times New Roman"/>
                <w:b/>
                <w:bCs/>
                <w:sz w:val="20"/>
                <w:szCs w:val="20"/>
                <w:lang w:eastAsia="hr-HR"/>
              </w:rPr>
              <w:t>1</w:t>
            </w:r>
          </w:p>
        </w:tc>
        <w:tc>
          <w:tcPr>
            <w:tcW w:w="992" w:type="dxa"/>
            <w:tcBorders>
              <w:top w:val="nil"/>
              <w:left w:val="nil"/>
              <w:bottom w:val="single" w:sz="4" w:space="0" w:color="auto"/>
              <w:right w:val="single" w:sz="4" w:space="0" w:color="auto"/>
            </w:tcBorders>
            <w:shd w:val="clear" w:color="000000" w:fill="F2F2F2"/>
            <w:vAlign w:val="center"/>
          </w:tcPr>
          <w:p w14:paraId="0BA62933" w14:textId="77777777" w:rsidR="005240EC" w:rsidRPr="00CD279E" w:rsidRDefault="005240EC" w:rsidP="005240EC">
            <w:pPr>
              <w:spacing w:after="0" w:line="240" w:lineRule="auto"/>
              <w:jc w:val="center"/>
              <w:rPr>
                <w:rFonts w:ascii="Times New Roman" w:eastAsia="Times New Roman" w:hAnsi="Times New Roman" w:cs="Times New Roman"/>
                <w:b/>
                <w:bCs/>
                <w:sz w:val="20"/>
                <w:szCs w:val="20"/>
                <w:highlight w:val="red"/>
                <w:lang w:eastAsia="hr-HR"/>
              </w:rPr>
            </w:pPr>
          </w:p>
        </w:tc>
      </w:tr>
      <w:tr w:rsidR="00983C42" w:rsidRPr="004665E0" w14:paraId="2876CE5A"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tcPr>
          <w:p w14:paraId="3AEE4EFA" w14:textId="65920CBA" w:rsidR="00983C42" w:rsidRDefault="00983C42" w:rsidP="005240EC">
            <w:pPr>
              <w:spacing w:after="0" w:line="240" w:lineRule="auto"/>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 xml:space="preserve">NADLEŽNI ŽUPANIJSKI SUD </w:t>
            </w:r>
          </w:p>
        </w:tc>
        <w:tc>
          <w:tcPr>
            <w:tcW w:w="992" w:type="dxa"/>
            <w:tcBorders>
              <w:top w:val="nil"/>
              <w:left w:val="nil"/>
              <w:bottom w:val="single" w:sz="4" w:space="0" w:color="auto"/>
              <w:right w:val="single" w:sz="4" w:space="0" w:color="auto"/>
            </w:tcBorders>
            <w:shd w:val="clear" w:color="000000" w:fill="F2F2F2"/>
            <w:vAlign w:val="center"/>
          </w:tcPr>
          <w:p w14:paraId="635891AD" w14:textId="3825E139" w:rsidR="00983C42" w:rsidRDefault="00983C42" w:rsidP="005240EC">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w:t>
            </w:r>
          </w:p>
        </w:tc>
        <w:tc>
          <w:tcPr>
            <w:tcW w:w="992" w:type="dxa"/>
            <w:tcBorders>
              <w:top w:val="nil"/>
              <w:left w:val="nil"/>
              <w:bottom w:val="single" w:sz="4" w:space="0" w:color="auto"/>
              <w:right w:val="single" w:sz="4" w:space="0" w:color="auto"/>
            </w:tcBorders>
            <w:shd w:val="clear" w:color="000000" w:fill="F2F2F2"/>
            <w:vAlign w:val="center"/>
          </w:tcPr>
          <w:p w14:paraId="57D99747" w14:textId="77777777" w:rsidR="00983C42" w:rsidRPr="00983C42" w:rsidRDefault="00983C42" w:rsidP="005240EC">
            <w:pPr>
              <w:spacing w:after="0" w:line="240" w:lineRule="auto"/>
              <w:jc w:val="center"/>
              <w:rPr>
                <w:rFonts w:ascii="Times New Roman" w:eastAsia="Times New Roman" w:hAnsi="Times New Roman" w:cs="Times New Roman"/>
                <w:b/>
                <w:bCs/>
                <w:sz w:val="20"/>
                <w:szCs w:val="20"/>
                <w:lang w:eastAsia="hr-HR"/>
              </w:rPr>
            </w:pPr>
          </w:p>
        </w:tc>
        <w:tc>
          <w:tcPr>
            <w:tcW w:w="1134" w:type="dxa"/>
            <w:tcBorders>
              <w:top w:val="nil"/>
              <w:left w:val="nil"/>
              <w:bottom w:val="single" w:sz="4" w:space="0" w:color="auto"/>
              <w:right w:val="single" w:sz="4" w:space="0" w:color="auto"/>
            </w:tcBorders>
            <w:shd w:val="clear" w:color="000000" w:fill="F2F2F2"/>
            <w:vAlign w:val="center"/>
          </w:tcPr>
          <w:p w14:paraId="518D5B2E" w14:textId="77777777" w:rsidR="00983C42" w:rsidRPr="005240EC" w:rsidRDefault="00983C42" w:rsidP="005240EC">
            <w:pPr>
              <w:spacing w:after="0" w:line="240" w:lineRule="auto"/>
              <w:jc w:val="center"/>
              <w:rPr>
                <w:rFonts w:ascii="Times New Roman" w:eastAsia="Times New Roman" w:hAnsi="Times New Roman" w:cs="Times New Roman"/>
                <w:b/>
                <w:bCs/>
                <w:sz w:val="20"/>
                <w:szCs w:val="20"/>
                <w:lang w:eastAsia="hr-HR"/>
              </w:rPr>
            </w:pPr>
          </w:p>
        </w:tc>
        <w:tc>
          <w:tcPr>
            <w:tcW w:w="992" w:type="dxa"/>
            <w:tcBorders>
              <w:top w:val="nil"/>
              <w:left w:val="nil"/>
              <w:bottom w:val="single" w:sz="4" w:space="0" w:color="auto"/>
              <w:right w:val="single" w:sz="4" w:space="0" w:color="auto"/>
            </w:tcBorders>
            <w:shd w:val="clear" w:color="000000" w:fill="F2F2F2"/>
            <w:vAlign w:val="center"/>
          </w:tcPr>
          <w:p w14:paraId="36EFCC21" w14:textId="77777777" w:rsidR="00983C42" w:rsidRPr="00CD279E" w:rsidRDefault="00983C42" w:rsidP="005240EC">
            <w:pPr>
              <w:spacing w:after="0" w:line="240" w:lineRule="auto"/>
              <w:jc w:val="center"/>
              <w:rPr>
                <w:rFonts w:ascii="Times New Roman" w:eastAsia="Times New Roman" w:hAnsi="Times New Roman" w:cs="Times New Roman"/>
                <w:b/>
                <w:bCs/>
                <w:sz w:val="20"/>
                <w:szCs w:val="20"/>
                <w:highlight w:val="red"/>
                <w:lang w:eastAsia="hr-HR"/>
              </w:rPr>
            </w:pPr>
          </w:p>
        </w:tc>
      </w:tr>
      <w:tr w:rsidR="005240EC" w:rsidRPr="004665E0" w14:paraId="7E1FE524"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6232FEE4" w14:textId="77777777" w:rsidR="005240EC" w:rsidRPr="004665E0" w:rsidRDefault="005240EC" w:rsidP="005240EC">
            <w:pPr>
              <w:spacing w:after="0" w:line="240" w:lineRule="auto"/>
              <w:jc w:val="right"/>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iCs/>
                <w:sz w:val="20"/>
                <w:szCs w:val="20"/>
                <w:lang w:eastAsia="hr-HR"/>
              </w:rPr>
              <w:t>DRŽAVNA TIJELA: UKUPNO</w:t>
            </w:r>
          </w:p>
        </w:tc>
        <w:tc>
          <w:tcPr>
            <w:tcW w:w="992" w:type="dxa"/>
            <w:tcBorders>
              <w:top w:val="nil"/>
              <w:left w:val="nil"/>
              <w:bottom w:val="single" w:sz="4" w:space="0" w:color="auto"/>
              <w:right w:val="single" w:sz="4" w:space="0" w:color="auto"/>
            </w:tcBorders>
            <w:shd w:val="clear" w:color="000000" w:fill="F2F2F2"/>
            <w:vAlign w:val="center"/>
          </w:tcPr>
          <w:p w14:paraId="596962CB" w14:textId="5AEA5F5D" w:rsidR="005240EC" w:rsidRPr="00983C42" w:rsidRDefault="00983C42" w:rsidP="005240EC">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157</w:t>
            </w:r>
          </w:p>
        </w:tc>
        <w:tc>
          <w:tcPr>
            <w:tcW w:w="992" w:type="dxa"/>
            <w:tcBorders>
              <w:top w:val="nil"/>
              <w:left w:val="nil"/>
              <w:bottom w:val="single" w:sz="4" w:space="0" w:color="auto"/>
              <w:right w:val="single" w:sz="4" w:space="0" w:color="auto"/>
            </w:tcBorders>
            <w:shd w:val="clear" w:color="000000" w:fill="F2F2F2"/>
            <w:vAlign w:val="center"/>
          </w:tcPr>
          <w:p w14:paraId="3AFFF59D" w14:textId="6F48996B" w:rsidR="005240EC" w:rsidRPr="00983C42" w:rsidRDefault="00983C42" w:rsidP="005240EC">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w:t>
            </w:r>
          </w:p>
        </w:tc>
        <w:tc>
          <w:tcPr>
            <w:tcW w:w="1134" w:type="dxa"/>
            <w:tcBorders>
              <w:top w:val="nil"/>
              <w:left w:val="nil"/>
              <w:bottom w:val="single" w:sz="4" w:space="0" w:color="auto"/>
              <w:right w:val="single" w:sz="4" w:space="0" w:color="auto"/>
            </w:tcBorders>
            <w:shd w:val="clear" w:color="000000" w:fill="F2F2F2"/>
            <w:vAlign w:val="center"/>
          </w:tcPr>
          <w:p w14:paraId="087E6925" w14:textId="77777777" w:rsidR="005240EC" w:rsidRPr="004665E0" w:rsidRDefault="005240EC" w:rsidP="005240EC">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187</w:t>
            </w:r>
          </w:p>
        </w:tc>
        <w:tc>
          <w:tcPr>
            <w:tcW w:w="992" w:type="dxa"/>
            <w:tcBorders>
              <w:top w:val="nil"/>
              <w:left w:val="nil"/>
              <w:bottom w:val="single" w:sz="4" w:space="0" w:color="auto"/>
              <w:right w:val="single" w:sz="4" w:space="0" w:color="auto"/>
            </w:tcBorders>
            <w:shd w:val="clear" w:color="000000" w:fill="F2F2F2"/>
            <w:vAlign w:val="center"/>
          </w:tcPr>
          <w:p w14:paraId="74947380" w14:textId="77777777" w:rsidR="005240EC" w:rsidRPr="004665E0" w:rsidRDefault="005240EC" w:rsidP="005240EC">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w:t>
            </w:r>
          </w:p>
        </w:tc>
      </w:tr>
      <w:tr w:rsidR="005240EC" w:rsidRPr="004665E0" w14:paraId="619BC1DE" w14:textId="77777777" w:rsidTr="005137AB">
        <w:trPr>
          <w:trHeight w:hRule="exact" w:val="510"/>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28A688CC" w14:textId="77777777" w:rsidR="005240EC" w:rsidRPr="004665E0" w:rsidRDefault="00B303F4" w:rsidP="005240EC">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w:t>
            </w:r>
            <w:r w:rsidR="005240EC" w:rsidRPr="004665E0">
              <w:rPr>
                <w:rFonts w:ascii="Times New Roman" w:eastAsia="Times New Roman" w:hAnsi="Times New Roman" w:cs="Times New Roman"/>
                <w:b/>
                <w:bCs/>
                <w:sz w:val="20"/>
                <w:szCs w:val="20"/>
                <w:lang w:eastAsia="hr-HR"/>
              </w:rPr>
              <w:t>. INOZEMNE FINANCIJSKO- OBAVJEŠTAJNE JEDINICE (INOZEMNI FOJ)</w:t>
            </w:r>
          </w:p>
        </w:tc>
        <w:tc>
          <w:tcPr>
            <w:tcW w:w="992" w:type="dxa"/>
            <w:tcBorders>
              <w:top w:val="nil"/>
              <w:left w:val="nil"/>
              <w:bottom w:val="single" w:sz="4" w:space="0" w:color="auto"/>
              <w:right w:val="single" w:sz="4" w:space="0" w:color="auto"/>
            </w:tcBorders>
            <w:shd w:val="clear" w:color="000000" w:fill="DDEBF7"/>
            <w:vAlign w:val="center"/>
          </w:tcPr>
          <w:p w14:paraId="17DAB12F" w14:textId="77777777" w:rsidR="005240EC" w:rsidRPr="004665E0" w:rsidRDefault="005240EC" w:rsidP="005240EC">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iCs/>
                <w:sz w:val="20"/>
                <w:szCs w:val="20"/>
                <w:lang w:eastAsia="hr-HR"/>
              </w:rPr>
              <w:t>PN</w:t>
            </w:r>
          </w:p>
        </w:tc>
        <w:tc>
          <w:tcPr>
            <w:tcW w:w="992" w:type="dxa"/>
            <w:tcBorders>
              <w:top w:val="nil"/>
              <w:left w:val="nil"/>
              <w:bottom w:val="single" w:sz="4" w:space="0" w:color="auto"/>
              <w:right w:val="single" w:sz="4" w:space="0" w:color="auto"/>
            </w:tcBorders>
            <w:shd w:val="clear" w:color="000000" w:fill="DDEBF7"/>
            <w:vAlign w:val="center"/>
          </w:tcPr>
          <w:p w14:paraId="3BCC1EF5" w14:textId="77777777" w:rsidR="005240EC" w:rsidRPr="004665E0" w:rsidRDefault="005240EC" w:rsidP="005240EC">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iCs/>
                <w:sz w:val="20"/>
                <w:szCs w:val="20"/>
                <w:lang w:eastAsia="hr-HR"/>
              </w:rPr>
              <w:t>FT</w:t>
            </w:r>
          </w:p>
        </w:tc>
        <w:tc>
          <w:tcPr>
            <w:tcW w:w="1134" w:type="dxa"/>
            <w:tcBorders>
              <w:top w:val="nil"/>
              <w:left w:val="nil"/>
              <w:bottom w:val="single" w:sz="4" w:space="0" w:color="auto"/>
              <w:right w:val="single" w:sz="4" w:space="0" w:color="auto"/>
            </w:tcBorders>
            <w:shd w:val="clear" w:color="000000" w:fill="DDEBF7"/>
            <w:vAlign w:val="center"/>
          </w:tcPr>
          <w:p w14:paraId="20CC7067" w14:textId="77777777" w:rsidR="005240EC" w:rsidRPr="004665E0" w:rsidRDefault="005240EC" w:rsidP="005240EC">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iCs/>
                <w:sz w:val="20"/>
                <w:szCs w:val="20"/>
                <w:lang w:eastAsia="hr-HR"/>
              </w:rPr>
              <w:t>PN</w:t>
            </w:r>
          </w:p>
        </w:tc>
        <w:tc>
          <w:tcPr>
            <w:tcW w:w="992" w:type="dxa"/>
            <w:tcBorders>
              <w:top w:val="nil"/>
              <w:left w:val="nil"/>
              <w:bottom w:val="single" w:sz="4" w:space="0" w:color="auto"/>
              <w:right w:val="single" w:sz="4" w:space="0" w:color="auto"/>
            </w:tcBorders>
            <w:shd w:val="clear" w:color="000000" w:fill="DDEBF7"/>
            <w:vAlign w:val="center"/>
          </w:tcPr>
          <w:p w14:paraId="5E00D943" w14:textId="77777777" w:rsidR="005240EC" w:rsidRPr="004665E0" w:rsidRDefault="005240EC" w:rsidP="005240EC">
            <w:pPr>
              <w:spacing w:after="0" w:line="240" w:lineRule="auto"/>
              <w:jc w:val="center"/>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iCs/>
                <w:sz w:val="20"/>
                <w:szCs w:val="20"/>
                <w:lang w:eastAsia="hr-HR"/>
              </w:rPr>
              <w:t>FT</w:t>
            </w:r>
          </w:p>
        </w:tc>
      </w:tr>
      <w:tr w:rsidR="005240EC" w:rsidRPr="004665E0" w14:paraId="61F5EB55"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2F695C62" w14:textId="77777777" w:rsidR="005240EC" w:rsidRPr="004665E0" w:rsidRDefault="005240EC" w:rsidP="005240EC">
            <w:pPr>
              <w:spacing w:after="0" w:line="240" w:lineRule="auto"/>
              <w:jc w:val="right"/>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iCs/>
                <w:sz w:val="20"/>
                <w:szCs w:val="20"/>
                <w:lang w:eastAsia="hr-HR"/>
              </w:rPr>
              <w:t xml:space="preserve"> INOZEMNI FOJ: UKUPNO</w:t>
            </w:r>
          </w:p>
        </w:tc>
        <w:tc>
          <w:tcPr>
            <w:tcW w:w="992" w:type="dxa"/>
            <w:tcBorders>
              <w:top w:val="nil"/>
              <w:left w:val="nil"/>
              <w:bottom w:val="single" w:sz="4" w:space="0" w:color="auto"/>
              <w:right w:val="single" w:sz="4" w:space="0" w:color="auto"/>
            </w:tcBorders>
            <w:shd w:val="clear" w:color="000000" w:fill="DDEBF7"/>
            <w:vAlign w:val="center"/>
          </w:tcPr>
          <w:p w14:paraId="7809E34E" w14:textId="77777777" w:rsidR="005240EC" w:rsidRDefault="005240EC" w:rsidP="005240EC">
            <w:pPr>
              <w:spacing w:after="0" w:line="240" w:lineRule="auto"/>
              <w:jc w:val="center"/>
              <w:rPr>
                <w:rFonts w:ascii="Times New Roman" w:eastAsia="Times New Roman" w:hAnsi="Times New Roman" w:cs="Times New Roman"/>
                <w:b/>
                <w:bCs/>
                <w:sz w:val="20"/>
                <w:szCs w:val="20"/>
                <w:lang w:eastAsia="hr-HR"/>
              </w:rPr>
            </w:pPr>
            <w:r w:rsidRPr="006B687B">
              <w:rPr>
                <w:rFonts w:ascii="Times New Roman" w:eastAsia="Times New Roman" w:hAnsi="Times New Roman" w:cs="Times New Roman"/>
                <w:b/>
                <w:bCs/>
                <w:sz w:val="20"/>
                <w:szCs w:val="20"/>
                <w:lang w:eastAsia="hr-HR"/>
              </w:rPr>
              <w:t>141</w:t>
            </w:r>
          </w:p>
          <w:p w14:paraId="2E622105" w14:textId="77777777" w:rsidR="005240EC" w:rsidRPr="004665E0" w:rsidRDefault="005240EC" w:rsidP="005240EC">
            <w:pPr>
              <w:spacing w:after="0" w:line="240" w:lineRule="auto"/>
              <w:jc w:val="center"/>
              <w:rPr>
                <w:rFonts w:ascii="Times New Roman" w:eastAsia="Times New Roman" w:hAnsi="Times New Roman" w:cs="Times New Roman"/>
                <w:b/>
                <w:bCs/>
                <w:sz w:val="20"/>
                <w:szCs w:val="20"/>
                <w:lang w:eastAsia="hr-HR"/>
              </w:rPr>
            </w:pPr>
          </w:p>
        </w:tc>
        <w:tc>
          <w:tcPr>
            <w:tcW w:w="992" w:type="dxa"/>
            <w:tcBorders>
              <w:top w:val="nil"/>
              <w:left w:val="nil"/>
              <w:bottom w:val="single" w:sz="4" w:space="0" w:color="auto"/>
              <w:right w:val="single" w:sz="4" w:space="0" w:color="auto"/>
            </w:tcBorders>
            <w:shd w:val="clear" w:color="000000" w:fill="DDEBF7"/>
            <w:vAlign w:val="center"/>
          </w:tcPr>
          <w:p w14:paraId="0599960F" w14:textId="77777777" w:rsidR="005240EC" w:rsidRPr="004665E0" w:rsidRDefault="005240EC" w:rsidP="005240EC">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w:t>
            </w:r>
          </w:p>
        </w:tc>
        <w:tc>
          <w:tcPr>
            <w:tcW w:w="1134" w:type="dxa"/>
            <w:tcBorders>
              <w:top w:val="nil"/>
              <w:left w:val="nil"/>
              <w:bottom w:val="single" w:sz="4" w:space="0" w:color="auto"/>
              <w:right w:val="single" w:sz="4" w:space="0" w:color="auto"/>
            </w:tcBorders>
            <w:shd w:val="clear" w:color="000000" w:fill="DDEBF7"/>
            <w:vAlign w:val="center"/>
          </w:tcPr>
          <w:p w14:paraId="701E7DBC" w14:textId="77777777" w:rsidR="005240EC" w:rsidRPr="004665E0" w:rsidRDefault="00363226" w:rsidP="005240EC">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100</w:t>
            </w:r>
          </w:p>
        </w:tc>
        <w:tc>
          <w:tcPr>
            <w:tcW w:w="992" w:type="dxa"/>
            <w:tcBorders>
              <w:top w:val="nil"/>
              <w:left w:val="nil"/>
              <w:bottom w:val="single" w:sz="4" w:space="0" w:color="auto"/>
              <w:right w:val="single" w:sz="4" w:space="0" w:color="auto"/>
            </w:tcBorders>
            <w:shd w:val="clear" w:color="000000" w:fill="DDEBF7"/>
            <w:vAlign w:val="center"/>
          </w:tcPr>
          <w:p w14:paraId="5CCA8FA7" w14:textId="77777777" w:rsidR="005240EC" w:rsidRPr="004665E0" w:rsidRDefault="00C803C6" w:rsidP="005240EC">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w:t>
            </w:r>
          </w:p>
        </w:tc>
      </w:tr>
      <w:tr w:rsidR="005240EC" w:rsidRPr="004665E0" w14:paraId="56FF010F"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32520AC6" w14:textId="77777777" w:rsidR="005240EC" w:rsidRPr="004665E0" w:rsidRDefault="005240EC" w:rsidP="00B303F4">
            <w:pPr>
              <w:spacing w:after="0" w:line="240" w:lineRule="auto"/>
              <w:jc w:val="right"/>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iCs/>
                <w:sz w:val="20"/>
                <w:szCs w:val="20"/>
                <w:lang w:eastAsia="hr-HR"/>
              </w:rPr>
              <w:t>UKUPNO (1+2+3)</w:t>
            </w:r>
          </w:p>
        </w:tc>
        <w:tc>
          <w:tcPr>
            <w:tcW w:w="992" w:type="dxa"/>
            <w:tcBorders>
              <w:top w:val="nil"/>
              <w:left w:val="nil"/>
              <w:bottom w:val="single" w:sz="4" w:space="0" w:color="auto"/>
              <w:right w:val="single" w:sz="4" w:space="0" w:color="auto"/>
            </w:tcBorders>
            <w:shd w:val="clear" w:color="000000" w:fill="F2F2F2"/>
            <w:vAlign w:val="center"/>
          </w:tcPr>
          <w:p w14:paraId="1074212E" w14:textId="0D04E4AD" w:rsidR="005240EC" w:rsidRPr="00B72E35" w:rsidRDefault="00983C42" w:rsidP="005240EC">
            <w:pPr>
              <w:spacing w:after="0" w:line="240" w:lineRule="auto"/>
              <w:jc w:val="center"/>
              <w:rPr>
                <w:rFonts w:ascii="Times New Roman" w:eastAsia="Times New Roman" w:hAnsi="Times New Roman" w:cs="Times New Roman"/>
                <w:b/>
                <w:bCs/>
                <w:sz w:val="20"/>
                <w:szCs w:val="20"/>
                <w:lang w:eastAsia="hr-HR"/>
              </w:rPr>
            </w:pPr>
            <w:r w:rsidRPr="00B72E35">
              <w:rPr>
                <w:rFonts w:ascii="Times New Roman" w:eastAsia="Times New Roman" w:hAnsi="Times New Roman" w:cs="Times New Roman"/>
                <w:b/>
                <w:bCs/>
                <w:sz w:val="20"/>
                <w:szCs w:val="20"/>
                <w:lang w:eastAsia="hr-HR"/>
              </w:rPr>
              <w:t>3515</w:t>
            </w:r>
          </w:p>
        </w:tc>
        <w:tc>
          <w:tcPr>
            <w:tcW w:w="992" w:type="dxa"/>
            <w:tcBorders>
              <w:top w:val="nil"/>
              <w:left w:val="nil"/>
              <w:bottom w:val="single" w:sz="4" w:space="0" w:color="auto"/>
              <w:right w:val="single" w:sz="4" w:space="0" w:color="auto"/>
            </w:tcBorders>
            <w:shd w:val="clear" w:color="000000" w:fill="F2F2F2"/>
            <w:vAlign w:val="center"/>
          </w:tcPr>
          <w:p w14:paraId="52298D9E" w14:textId="49358BB2" w:rsidR="005240EC" w:rsidRPr="00B72E35" w:rsidRDefault="00983C42" w:rsidP="005240EC">
            <w:pPr>
              <w:spacing w:after="0" w:line="240" w:lineRule="auto"/>
              <w:jc w:val="center"/>
              <w:rPr>
                <w:rFonts w:ascii="Times New Roman" w:eastAsia="Times New Roman" w:hAnsi="Times New Roman" w:cs="Times New Roman"/>
                <w:b/>
                <w:bCs/>
                <w:sz w:val="20"/>
                <w:szCs w:val="20"/>
                <w:lang w:eastAsia="hr-HR"/>
              </w:rPr>
            </w:pPr>
            <w:r w:rsidRPr="00B72E35">
              <w:rPr>
                <w:rFonts w:ascii="Times New Roman" w:eastAsia="Times New Roman" w:hAnsi="Times New Roman" w:cs="Times New Roman"/>
                <w:b/>
                <w:bCs/>
                <w:sz w:val="20"/>
                <w:szCs w:val="20"/>
                <w:lang w:eastAsia="hr-HR"/>
              </w:rPr>
              <w:t>19</w:t>
            </w:r>
          </w:p>
        </w:tc>
        <w:tc>
          <w:tcPr>
            <w:tcW w:w="1134" w:type="dxa"/>
            <w:tcBorders>
              <w:top w:val="nil"/>
              <w:left w:val="nil"/>
              <w:bottom w:val="single" w:sz="4" w:space="0" w:color="auto"/>
              <w:right w:val="single" w:sz="4" w:space="0" w:color="auto"/>
            </w:tcBorders>
            <w:shd w:val="clear" w:color="000000" w:fill="F2F2F2"/>
            <w:vAlign w:val="center"/>
          </w:tcPr>
          <w:p w14:paraId="1F2AD12C" w14:textId="77777777" w:rsidR="005240EC" w:rsidRPr="00C803C6" w:rsidRDefault="00C803C6" w:rsidP="005240EC">
            <w:pPr>
              <w:spacing w:after="0" w:line="240" w:lineRule="auto"/>
              <w:jc w:val="center"/>
              <w:rPr>
                <w:rFonts w:ascii="Times New Roman" w:eastAsia="Times New Roman" w:hAnsi="Times New Roman" w:cs="Times New Roman"/>
                <w:b/>
                <w:bCs/>
                <w:sz w:val="20"/>
                <w:szCs w:val="20"/>
                <w:lang w:eastAsia="hr-HR"/>
              </w:rPr>
            </w:pPr>
            <w:r w:rsidRPr="00C803C6">
              <w:rPr>
                <w:rFonts w:ascii="Times New Roman" w:eastAsia="Times New Roman" w:hAnsi="Times New Roman" w:cs="Times New Roman"/>
                <w:b/>
                <w:bCs/>
                <w:sz w:val="20"/>
                <w:szCs w:val="20"/>
                <w:lang w:eastAsia="hr-HR"/>
              </w:rPr>
              <w:t>3512</w:t>
            </w:r>
          </w:p>
        </w:tc>
        <w:tc>
          <w:tcPr>
            <w:tcW w:w="992" w:type="dxa"/>
            <w:tcBorders>
              <w:top w:val="nil"/>
              <w:left w:val="nil"/>
              <w:bottom w:val="single" w:sz="4" w:space="0" w:color="auto"/>
              <w:right w:val="single" w:sz="4" w:space="0" w:color="auto"/>
            </w:tcBorders>
            <w:shd w:val="clear" w:color="000000" w:fill="F2F2F2"/>
            <w:vAlign w:val="center"/>
          </w:tcPr>
          <w:p w14:paraId="48A7589B" w14:textId="77777777" w:rsidR="005240EC" w:rsidRPr="00C803C6" w:rsidRDefault="00C803C6" w:rsidP="005240EC">
            <w:pPr>
              <w:spacing w:after="0" w:line="240" w:lineRule="auto"/>
              <w:jc w:val="center"/>
              <w:rPr>
                <w:rFonts w:ascii="Times New Roman" w:eastAsia="Times New Roman" w:hAnsi="Times New Roman" w:cs="Times New Roman"/>
                <w:b/>
                <w:bCs/>
                <w:sz w:val="20"/>
                <w:szCs w:val="20"/>
                <w:lang w:eastAsia="hr-HR"/>
              </w:rPr>
            </w:pPr>
            <w:r w:rsidRPr="00C803C6">
              <w:rPr>
                <w:rFonts w:ascii="Times New Roman" w:eastAsia="Times New Roman" w:hAnsi="Times New Roman" w:cs="Times New Roman"/>
                <w:b/>
                <w:bCs/>
                <w:sz w:val="20"/>
                <w:szCs w:val="20"/>
                <w:lang w:eastAsia="hr-HR"/>
              </w:rPr>
              <w:t>19</w:t>
            </w:r>
          </w:p>
        </w:tc>
      </w:tr>
      <w:tr w:rsidR="005240EC" w:rsidRPr="004665E0" w14:paraId="1734011D" w14:textId="77777777" w:rsidTr="005137AB">
        <w:trPr>
          <w:trHeight w:hRule="exact" w:val="300"/>
        </w:trPr>
        <w:tc>
          <w:tcPr>
            <w:tcW w:w="4849" w:type="dxa"/>
            <w:tcBorders>
              <w:top w:val="nil"/>
              <w:left w:val="single" w:sz="4" w:space="0" w:color="auto"/>
              <w:bottom w:val="single" w:sz="4" w:space="0" w:color="auto"/>
              <w:right w:val="single" w:sz="4" w:space="0" w:color="auto"/>
            </w:tcBorders>
            <w:shd w:val="clear" w:color="000000" w:fill="DDEBF7"/>
            <w:vAlign w:val="center"/>
            <w:hideMark/>
          </w:tcPr>
          <w:p w14:paraId="0FD8729F" w14:textId="77777777" w:rsidR="005240EC" w:rsidRPr="004665E0" w:rsidRDefault="005240EC" w:rsidP="005240EC">
            <w:pPr>
              <w:spacing w:after="0" w:line="240" w:lineRule="auto"/>
              <w:jc w:val="right"/>
              <w:rPr>
                <w:rFonts w:ascii="Times New Roman" w:eastAsia="Times New Roman" w:hAnsi="Times New Roman" w:cs="Times New Roman"/>
                <w:b/>
                <w:bCs/>
                <w:sz w:val="20"/>
                <w:szCs w:val="20"/>
                <w:lang w:eastAsia="hr-HR"/>
              </w:rPr>
            </w:pPr>
            <w:r w:rsidRPr="004665E0">
              <w:rPr>
                <w:rFonts w:ascii="Times New Roman" w:eastAsia="Times New Roman" w:hAnsi="Times New Roman" w:cs="Times New Roman"/>
                <w:b/>
                <w:bCs/>
                <w:sz w:val="20"/>
                <w:szCs w:val="20"/>
                <w:lang w:eastAsia="hr-HR"/>
              </w:rPr>
              <w:t>SVEUKUPNO</w:t>
            </w:r>
          </w:p>
        </w:tc>
        <w:tc>
          <w:tcPr>
            <w:tcW w:w="1984" w:type="dxa"/>
            <w:gridSpan w:val="2"/>
            <w:tcBorders>
              <w:top w:val="single" w:sz="4" w:space="0" w:color="auto"/>
              <w:left w:val="nil"/>
              <w:bottom w:val="single" w:sz="4" w:space="0" w:color="auto"/>
              <w:right w:val="single" w:sz="4" w:space="0" w:color="auto"/>
            </w:tcBorders>
            <w:shd w:val="clear" w:color="000000" w:fill="DDEBF7"/>
            <w:vAlign w:val="center"/>
          </w:tcPr>
          <w:p w14:paraId="7DB1ECE3" w14:textId="104F72BC" w:rsidR="005240EC" w:rsidRPr="004665E0" w:rsidRDefault="00B72E35" w:rsidP="005240EC">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3534</w:t>
            </w:r>
          </w:p>
        </w:tc>
        <w:tc>
          <w:tcPr>
            <w:tcW w:w="2126" w:type="dxa"/>
            <w:gridSpan w:val="2"/>
            <w:tcBorders>
              <w:top w:val="single" w:sz="4" w:space="0" w:color="auto"/>
              <w:left w:val="nil"/>
              <w:bottom w:val="single" w:sz="4" w:space="0" w:color="auto"/>
              <w:right w:val="single" w:sz="4" w:space="0" w:color="auto"/>
            </w:tcBorders>
            <w:shd w:val="clear" w:color="000000" w:fill="DDEBF7"/>
            <w:vAlign w:val="center"/>
          </w:tcPr>
          <w:p w14:paraId="2DD9CA56" w14:textId="77777777" w:rsidR="005240EC" w:rsidRPr="00C803C6" w:rsidRDefault="00C803C6" w:rsidP="00C803C6">
            <w:pPr>
              <w:spacing w:after="0" w:line="240" w:lineRule="auto"/>
              <w:jc w:val="center"/>
              <w:rPr>
                <w:rFonts w:ascii="Times New Roman" w:eastAsia="Times New Roman" w:hAnsi="Times New Roman" w:cs="Times New Roman"/>
                <w:b/>
                <w:bCs/>
                <w:sz w:val="20"/>
                <w:szCs w:val="20"/>
                <w:lang w:eastAsia="hr-HR"/>
              </w:rPr>
            </w:pPr>
            <w:r w:rsidRPr="00C803C6">
              <w:rPr>
                <w:rFonts w:ascii="Times New Roman" w:eastAsia="Times New Roman" w:hAnsi="Times New Roman" w:cs="Times New Roman"/>
                <w:b/>
                <w:bCs/>
                <w:sz w:val="20"/>
                <w:szCs w:val="20"/>
                <w:lang w:eastAsia="hr-HR"/>
              </w:rPr>
              <w:t>3531</w:t>
            </w:r>
          </w:p>
        </w:tc>
      </w:tr>
    </w:tbl>
    <w:p w14:paraId="54590119" w14:textId="57FB69EE" w:rsidR="00E2708E" w:rsidRPr="0078781B" w:rsidRDefault="008402DA" w:rsidP="0078781B">
      <w:pPr>
        <w:tabs>
          <w:tab w:val="left" w:pos="8640"/>
        </w:tabs>
        <w:spacing w:after="0" w:line="240" w:lineRule="auto"/>
        <w:jc w:val="both"/>
        <w:rPr>
          <w:rFonts w:ascii="Times New Roman" w:eastAsia="Calibri" w:hAnsi="Times New Roman" w:cs="Times New Roman"/>
          <w:bCs/>
          <w:sz w:val="24"/>
          <w:szCs w:val="24"/>
        </w:rPr>
      </w:pPr>
      <w:r w:rsidRPr="0078781B">
        <w:rPr>
          <w:rFonts w:ascii="Times New Roman" w:eastAsia="Calibri" w:hAnsi="Times New Roman" w:cs="Times New Roman"/>
          <w:bCs/>
          <w:sz w:val="24"/>
          <w:szCs w:val="24"/>
        </w:rPr>
        <w:lastRenderedPageBreak/>
        <w:t xml:space="preserve">Iz Tablice </w:t>
      </w:r>
      <w:r w:rsidR="005323C8">
        <w:rPr>
          <w:rFonts w:ascii="Times New Roman" w:eastAsia="Calibri" w:hAnsi="Times New Roman" w:cs="Times New Roman"/>
          <w:bCs/>
          <w:sz w:val="24"/>
          <w:szCs w:val="24"/>
        </w:rPr>
        <w:t>3</w:t>
      </w:r>
      <w:r w:rsidRPr="0078781B">
        <w:rPr>
          <w:rFonts w:ascii="Times New Roman" w:eastAsia="Calibri" w:hAnsi="Times New Roman" w:cs="Times New Roman"/>
          <w:bCs/>
          <w:sz w:val="24"/>
          <w:szCs w:val="24"/>
        </w:rPr>
        <w:t xml:space="preserve">. razvidno je da je u 2022. Ured zaprimio </w:t>
      </w:r>
      <w:r w:rsidR="000C417F">
        <w:rPr>
          <w:rFonts w:ascii="Times New Roman" w:eastAsia="Calibri" w:hAnsi="Times New Roman" w:cs="Times New Roman"/>
          <w:bCs/>
          <w:sz w:val="24"/>
          <w:szCs w:val="24"/>
        </w:rPr>
        <w:t xml:space="preserve">ukupno </w:t>
      </w:r>
      <w:r w:rsidR="00C803C6" w:rsidRPr="0078781B">
        <w:rPr>
          <w:rFonts w:ascii="Times New Roman" w:eastAsia="Calibri" w:hAnsi="Times New Roman" w:cs="Times New Roman"/>
          <w:bCs/>
          <w:sz w:val="24"/>
          <w:szCs w:val="24"/>
        </w:rPr>
        <w:t>3531</w:t>
      </w:r>
      <w:r w:rsidRPr="0078781B">
        <w:rPr>
          <w:rFonts w:ascii="Times New Roman" w:eastAsia="Calibri" w:hAnsi="Times New Roman" w:cs="Times New Roman"/>
          <w:bCs/>
          <w:sz w:val="24"/>
          <w:szCs w:val="24"/>
        </w:rPr>
        <w:t xml:space="preserve"> obavijes</w:t>
      </w:r>
      <w:r w:rsidR="00A85E7C" w:rsidRPr="0078781B">
        <w:rPr>
          <w:rFonts w:ascii="Times New Roman" w:eastAsia="Calibri" w:hAnsi="Times New Roman" w:cs="Times New Roman"/>
          <w:bCs/>
          <w:sz w:val="24"/>
          <w:szCs w:val="24"/>
        </w:rPr>
        <w:t>t</w:t>
      </w:r>
      <w:r w:rsidR="00984B0B">
        <w:rPr>
          <w:rFonts w:ascii="Times New Roman" w:eastAsia="Calibri" w:hAnsi="Times New Roman" w:cs="Times New Roman"/>
          <w:bCs/>
          <w:sz w:val="24"/>
          <w:szCs w:val="24"/>
        </w:rPr>
        <w:t xml:space="preserve"> o sumnjivim transakcijama (3</w:t>
      </w:r>
      <w:r w:rsidR="0028132C" w:rsidRPr="0078781B">
        <w:rPr>
          <w:rFonts w:ascii="Times New Roman" w:eastAsia="Calibri" w:hAnsi="Times New Roman" w:cs="Times New Roman"/>
          <w:bCs/>
          <w:sz w:val="24"/>
          <w:szCs w:val="24"/>
        </w:rPr>
        <w:t>512</w:t>
      </w:r>
      <w:r w:rsidRPr="0078781B">
        <w:rPr>
          <w:rFonts w:ascii="Times New Roman" w:eastAsia="Calibri" w:hAnsi="Times New Roman" w:cs="Times New Roman"/>
          <w:bCs/>
          <w:sz w:val="24"/>
          <w:szCs w:val="24"/>
        </w:rPr>
        <w:t xml:space="preserve"> sa sumnjom na pranje novca i 1</w:t>
      </w:r>
      <w:r w:rsidR="0028132C" w:rsidRPr="0078781B">
        <w:rPr>
          <w:rFonts w:ascii="Times New Roman" w:eastAsia="Calibri" w:hAnsi="Times New Roman" w:cs="Times New Roman"/>
          <w:bCs/>
          <w:sz w:val="24"/>
          <w:szCs w:val="24"/>
        </w:rPr>
        <w:t>9</w:t>
      </w:r>
      <w:r w:rsidRPr="0078781B">
        <w:rPr>
          <w:rFonts w:ascii="Times New Roman" w:eastAsia="Calibri" w:hAnsi="Times New Roman" w:cs="Times New Roman"/>
          <w:bCs/>
          <w:sz w:val="24"/>
          <w:szCs w:val="24"/>
        </w:rPr>
        <w:t xml:space="preserve"> sa sum</w:t>
      </w:r>
      <w:r w:rsidR="005C362A">
        <w:rPr>
          <w:rFonts w:ascii="Times New Roman" w:eastAsia="Calibri" w:hAnsi="Times New Roman" w:cs="Times New Roman"/>
          <w:bCs/>
          <w:sz w:val="24"/>
          <w:szCs w:val="24"/>
        </w:rPr>
        <w:t>njom na financiranje terorizma).</w:t>
      </w:r>
      <w:r w:rsidRPr="0078781B">
        <w:rPr>
          <w:rFonts w:ascii="Times New Roman" w:eastAsia="Calibri" w:hAnsi="Times New Roman" w:cs="Times New Roman"/>
          <w:bCs/>
          <w:sz w:val="24"/>
          <w:szCs w:val="24"/>
        </w:rPr>
        <w:t xml:space="preserve"> </w:t>
      </w:r>
      <w:r w:rsidR="005C362A">
        <w:rPr>
          <w:rFonts w:ascii="Times New Roman" w:eastAsia="Calibri" w:hAnsi="Times New Roman" w:cs="Times New Roman"/>
          <w:bCs/>
          <w:sz w:val="24"/>
          <w:szCs w:val="24"/>
        </w:rPr>
        <w:t>O</w:t>
      </w:r>
      <w:r w:rsidRPr="0078781B">
        <w:rPr>
          <w:rFonts w:ascii="Times New Roman" w:eastAsia="Calibri" w:hAnsi="Times New Roman" w:cs="Times New Roman"/>
          <w:bCs/>
          <w:sz w:val="24"/>
          <w:szCs w:val="24"/>
        </w:rPr>
        <w:t>bveznici (banke i dr.) su Uredu pr</w:t>
      </w:r>
      <w:r w:rsidR="000C417F">
        <w:rPr>
          <w:rFonts w:ascii="Times New Roman" w:eastAsia="Calibri" w:hAnsi="Times New Roman" w:cs="Times New Roman"/>
          <w:bCs/>
          <w:sz w:val="24"/>
          <w:szCs w:val="24"/>
        </w:rPr>
        <w:t xml:space="preserve">ijavili ukupno 3241 transakciju </w:t>
      </w:r>
      <w:r w:rsidRPr="0078781B">
        <w:rPr>
          <w:rFonts w:ascii="Times New Roman" w:eastAsia="Calibri" w:hAnsi="Times New Roman" w:cs="Times New Roman"/>
          <w:bCs/>
          <w:sz w:val="24"/>
          <w:szCs w:val="24"/>
        </w:rPr>
        <w:t>sa sumnjom na pranje novca i financiranje terorizma. Od nadležnih</w:t>
      </w:r>
      <w:r w:rsidR="00A85E7C" w:rsidRPr="0078781B">
        <w:rPr>
          <w:rFonts w:ascii="Times New Roman" w:eastAsia="Calibri" w:hAnsi="Times New Roman" w:cs="Times New Roman"/>
          <w:bCs/>
          <w:sz w:val="24"/>
          <w:szCs w:val="24"/>
        </w:rPr>
        <w:t xml:space="preserve"> </w:t>
      </w:r>
      <w:r w:rsidRPr="0078781B">
        <w:rPr>
          <w:rFonts w:ascii="Times New Roman" w:eastAsia="Calibri" w:hAnsi="Times New Roman" w:cs="Times New Roman"/>
          <w:bCs/>
          <w:sz w:val="24"/>
          <w:szCs w:val="24"/>
        </w:rPr>
        <w:t xml:space="preserve">tijela </w:t>
      </w:r>
      <w:r w:rsidR="00CE631B">
        <w:rPr>
          <w:rFonts w:ascii="Times New Roman" w:eastAsia="Calibri" w:hAnsi="Times New Roman" w:cs="Times New Roman"/>
          <w:bCs/>
          <w:sz w:val="24"/>
          <w:szCs w:val="24"/>
        </w:rPr>
        <w:t xml:space="preserve">Ured je </w:t>
      </w:r>
      <w:r w:rsidRPr="0078781B">
        <w:rPr>
          <w:rFonts w:ascii="Times New Roman" w:eastAsia="Calibri" w:hAnsi="Times New Roman" w:cs="Times New Roman"/>
          <w:bCs/>
          <w:sz w:val="24"/>
          <w:szCs w:val="24"/>
        </w:rPr>
        <w:t xml:space="preserve">zaprimio ukupno </w:t>
      </w:r>
      <w:r w:rsidR="00C803C6" w:rsidRPr="0078781B">
        <w:rPr>
          <w:rFonts w:ascii="Times New Roman" w:eastAsia="Calibri" w:hAnsi="Times New Roman" w:cs="Times New Roman"/>
          <w:bCs/>
          <w:sz w:val="24"/>
          <w:szCs w:val="24"/>
        </w:rPr>
        <w:t>189</w:t>
      </w:r>
      <w:r w:rsidRPr="0078781B">
        <w:rPr>
          <w:rFonts w:ascii="Times New Roman" w:eastAsia="Calibri" w:hAnsi="Times New Roman" w:cs="Times New Roman"/>
          <w:bCs/>
          <w:sz w:val="24"/>
          <w:szCs w:val="24"/>
        </w:rPr>
        <w:t xml:space="preserve"> </w:t>
      </w:r>
      <w:r w:rsidR="00B72E35">
        <w:rPr>
          <w:rFonts w:ascii="Times New Roman" w:eastAsia="Calibri" w:hAnsi="Times New Roman" w:cs="Times New Roman"/>
          <w:bCs/>
          <w:sz w:val="24"/>
          <w:szCs w:val="24"/>
        </w:rPr>
        <w:t>obavijesti sa sumnjom na pranje novca i financiranje</w:t>
      </w:r>
      <w:r w:rsidR="00D21702">
        <w:rPr>
          <w:rFonts w:ascii="Times New Roman" w:eastAsia="Calibri" w:hAnsi="Times New Roman" w:cs="Times New Roman"/>
          <w:bCs/>
          <w:sz w:val="24"/>
          <w:szCs w:val="24"/>
        </w:rPr>
        <w:t xml:space="preserve"> </w:t>
      </w:r>
      <w:r w:rsidR="00B72E35">
        <w:rPr>
          <w:rFonts w:ascii="Times New Roman" w:eastAsia="Calibri" w:hAnsi="Times New Roman" w:cs="Times New Roman"/>
          <w:bCs/>
          <w:sz w:val="24"/>
          <w:szCs w:val="24"/>
        </w:rPr>
        <w:t xml:space="preserve">terorizma (prijedloga za analitičkom obradom) </w:t>
      </w:r>
      <w:r w:rsidR="00363226" w:rsidRPr="0078781B">
        <w:rPr>
          <w:rFonts w:ascii="Times New Roman" w:eastAsia="Calibri" w:hAnsi="Times New Roman" w:cs="Times New Roman"/>
          <w:bCs/>
          <w:sz w:val="24"/>
          <w:szCs w:val="24"/>
        </w:rPr>
        <w:t xml:space="preserve">te 101 </w:t>
      </w:r>
      <w:r w:rsidR="00B72E35">
        <w:rPr>
          <w:rFonts w:ascii="Times New Roman" w:eastAsia="Calibri" w:hAnsi="Times New Roman" w:cs="Times New Roman"/>
          <w:bCs/>
          <w:sz w:val="24"/>
          <w:szCs w:val="24"/>
        </w:rPr>
        <w:t xml:space="preserve">obavijest </w:t>
      </w:r>
      <w:r w:rsidR="00363226" w:rsidRPr="0078781B">
        <w:rPr>
          <w:rFonts w:ascii="Times New Roman" w:eastAsia="SimSun" w:hAnsi="Times New Roman" w:cs="Times New Roman"/>
          <w:sz w:val="24"/>
          <w:szCs w:val="24"/>
          <w:lang w:eastAsia="zh-CN"/>
        </w:rPr>
        <w:t>od</w:t>
      </w:r>
      <w:r w:rsidR="00363226" w:rsidRPr="0078781B">
        <w:rPr>
          <w:rFonts w:ascii="Times New Roman" w:eastAsia="Calibri" w:hAnsi="Times New Roman" w:cs="Times New Roman"/>
          <w:sz w:val="24"/>
          <w:szCs w:val="24"/>
        </w:rPr>
        <w:t xml:space="preserve"> inozemnih</w:t>
      </w:r>
      <w:r w:rsidR="00E2708E" w:rsidRPr="0078781B">
        <w:rPr>
          <w:rFonts w:ascii="Times New Roman" w:eastAsia="Calibri" w:hAnsi="Times New Roman" w:cs="Times New Roman"/>
          <w:sz w:val="24"/>
          <w:szCs w:val="24"/>
        </w:rPr>
        <w:t xml:space="preserve"> f</w:t>
      </w:r>
      <w:r w:rsidR="00363226" w:rsidRPr="0078781B">
        <w:rPr>
          <w:rFonts w:ascii="Times New Roman" w:eastAsia="Calibri" w:hAnsi="Times New Roman" w:cs="Times New Roman"/>
          <w:sz w:val="24"/>
          <w:szCs w:val="24"/>
        </w:rPr>
        <w:t>inancijsko-obavještajnih jedinica</w:t>
      </w:r>
      <w:r w:rsidR="00E533A0">
        <w:rPr>
          <w:rFonts w:ascii="Times New Roman" w:eastAsia="Calibri" w:hAnsi="Times New Roman" w:cs="Times New Roman"/>
          <w:sz w:val="24"/>
          <w:szCs w:val="24"/>
        </w:rPr>
        <w:t xml:space="preserve"> (zamolbi za dostavom podataka</w:t>
      </w:r>
      <w:r w:rsidR="00363226" w:rsidRPr="0078781B">
        <w:rPr>
          <w:rFonts w:ascii="Times New Roman" w:eastAsia="Calibri" w:hAnsi="Times New Roman" w:cs="Times New Roman"/>
          <w:sz w:val="24"/>
          <w:szCs w:val="24"/>
        </w:rPr>
        <w:t xml:space="preserve">. </w:t>
      </w:r>
      <w:r w:rsidR="0078781B" w:rsidRPr="0078781B">
        <w:rPr>
          <w:rFonts w:ascii="Times New Roman" w:eastAsia="Calibri" w:hAnsi="Times New Roman" w:cs="Times New Roman"/>
          <w:sz w:val="24"/>
          <w:szCs w:val="24"/>
        </w:rPr>
        <w:t xml:space="preserve">Osim zamolbi za dostavom </w:t>
      </w:r>
      <w:r w:rsidR="0078781B">
        <w:rPr>
          <w:rFonts w:ascii="Times New Roman" w:eastAsia="Calibri" w:hAnsi="Times New Roman" w:cs="Times New Roman"/>
          <w:sz w:val="24"/>
          <w:szCs w:val="24"/>
        </w:rPr>
        <w:t xml:space="preserve">podataka </w:t>
      </w:r>
      <w:r w:rsidR="0078781B" w:rsidRPr="0078781B">
        <w:rPr>
          <w:rFonts w:ascii="Times New Roman" w:eastAsia="Calibri" w:hAnsi="Times New Roman" w:cs="Times New Roman"/>
          <w:sz w:val="24"/>
          <w:szCs w:val="24"/>
        </w:rPr>
        <w:t xml:space="preserve">Ured je u 2022. od </w:t>
      </w:r>
      <w:r w:rsidR="0078781B">
        <w:rPr>
          <w:rFonts w:ascii="Times New Roman" w:eastAsia="Calibri" w:hAnsi="Times New Roman" w:cs="Times New Roman"/>
          <w:sz w:val="24"/>
          <w:szCs w:val="24"/>
        </w:rPr>
        <w:t>inozemnih financijsko</w:t>
      </w:r>
      <w:r w:rsidR="0078781B" w:rsidRPr="0078781B">
        <w:rPr>
          <w:rFonts w:ascii="Times New Roman" w:eastAsia="Calibri" w:hAnsi="Times New Roman" w:cs="Times New Roman"/>
          <w:sz w:val="24"/>
          <w:szCs w:val="24"/>
        </w:rPr>
        <w:t>-obavještajnih jednica</w:t>
      </w:r>
      <w:r w:rsidR="0078781B">
        <w:rPr>
          <w:rFonts w:ascii="Times New Roman" w:eastAsia="Calibri" w:hAnsi="Times New Roman" w:cs="Times New Roman"/>
          <w:sz w:val="24"/>
          <w:szCs w:val="24"/>
        </w:rPr>
        <w:t xml:space="preserve"> zaprimio</w:t>
      </w:r>
      <w:r w:rsidR="0078781B" w:rsidRPr="0078781B">
        <w:rPr>
          <w:rFonts w:ascii="Times New Roman" w:eastAsia="Calibri" w:hAnsi="Times New Roman" w:cs="Times New Roman"/>
          <w:sz w:val="24"/>
          <w:szCs w:val="24"/>
        </w:rPr>
        <w:t xml:space="preserve"> i 97 spontanih obavijesti (</w:t>
      </w:r>
      <w:r w:rsidR="000C417F">
        <w:rPr>
          <w:rFonts w:ascii="Times New Roman" w:eastAsia="Calibri" w:hAnsi="Times New Roman" w:cs="Times New Roman"/>
          <w:sz w:val="24"/>
          <w:szCs w:val="24"/>
        </w:rPr>
        <w:t>zamolba/spontana dostava podataka</w:t>
      </w:r>
      <w:r w:rsidR="0078781B" w:rsidRPr="0078781B">
        <w:rPr>
          <w:rFonts w:ascii="Times New Roman" w:eastAsia="Calibri" w:hAnsi="Times New Roman" w:cs="Times New Roman"/>
          <w:sz w:val="24"/>
          <w:szCs w:val="24"/>
        </w:rPr>
        <w:t xml:space="preserve">) sa sumnjom na pranje novca i financiranje terorizma. </w:t>
      </w:r>
    </w:p>
    <w:p w14:paraId="758BEDE7" w14:textId="77777777" w:rsidR="0028132C" w:rsidRDefault="0028132C" w:rsidP="0028132C">
      <w:pPr>
        <w:spacing w:after="0" w:line="240" w:lineRule="auto"/>
        <w:jc w:val="both"/>
        <w:rPr>
          <w:rFonts w:ascii="Times New Roman" w:eastAsia="Times New Roman" w:hAnsi="Times New Roman" w:cs="Times New Roman"/>
          <w:b/>
          <w:iCs/>
          <w:sz w:val="24"/>
          <w:szCs w:val="24"/>
          <w:lang w:eastAsia="hr-HR"/>
        </w:rPr>
      </w:pPr>
    </w:p>
    <w:p w14:paraId="14329E3F" w14:textId="77777777" w:rsidR="00885AEA" w:rsidRPr="004665E0" w:rsidRDefault="00885AEA" w:rsidP="00885AEA">
      <w:pPr>
        <w:spacing w:after="0" w:line="240" w:lineRule="auto"/>
        <w:jc w:val="both"/>
        <w:rPr>
          <w:rFonts w:ascii="Times New Roman" w:eastAsia="Calibri" w:hAnsi="Times New Roman" w:cs="Times New Roman"/>
          <w:iCs/>
          <w:sz w:val="24"/>
          <w:szCs w:val="24"/>
          <w:lang w:eastAsia="hr-HR"/>
        </w:rPr>
      </w:pPr>
    </w:p>
    <w:p w14:paraId="74ED9CF1" w14:textId="77777777" w:rsidR="00885AEA" w:rsidRPr="00BD2F10" w:rsidRDefault="00885AEA" w:rsidP="00BD2F10">
      <w:pPr>
        <w:spacing w:after="0" w:line="240" w:lineRule="auto"/>
        <w:rPr>
          <w:rFonts w:ascii="Times New Roman" w:hAnsi="Times New Roman" w:cs="Times New Roman"/>
          <w:b/>
          <w:sz w:val="24"/>
          <w:szCs w:val="24"/>
          <w:u w:val="single"/>
          <w:lang w:eastAsia="hr-HR"/>
        </w:rPr>
      </w:pPr>
      <w:r w:rsidRPr="00BD2F10">
        <w:rPr>
          <w:rFonts w:ascii="Times New Roman" w:hAnsi="Times New Roman" w:cs="Times New Roman"/>
          <w:b/>
          <w:sz w:val="24"/>
          <w:szCs w:val="24"/>
          <w:u w:val="single"/>
          <w:lang w:eastAsia="hr-HR"/>
        </w:rPr>
        <w:t>Analitički predmeti Ureda</w:t>
      </w:r>
    </w:p>
    <w:p w14:paraId="69E6F97F" w14:textId="77777777" w:rsidR="00BD2F10" w:rsidRDefault="00BD2F10" w:rsidP="008402DA">
      <w:pPr>
        <w:spacing w:after="0" w:line="240" w:lineRule="auto"/>
        <w:jc w:val="both"/>
        <w:rPr>
          <w:rFonts w:ascii="Times New Roman" w:eastAsia="Calibri" w:hAnsi="Times New Roman" w:cs="Times New Roman"/>
          <w:iCs/>
          <w:sz w:val="24"/>
          <w:szCs w:val="24"/>
          <w:lang w:eastAsia="hr-HR"/>
        </w:rPr>
      </w:pPr>
    </w:p>
    <w:p w14:paraId="5AAAC362" w14:textId="11E99B34" w:rsidR="008402DA" w:rsidRPr="004665E0" w:rsidRDefault="008402DA" w:rsidP="008402DA">
      <w:pPr>
        <w:spacing w:after="0" w:line="240" w:lineRule="auto"/>
        <w:jc w:val="both"/>
        <w:rPr>
          <w:rFonts w:ascii="Times New Roman" w:eastAsia="Calibri" w:hAnsi="Times New Roman" w:cs="Times New Roman"/>
          <w:iCs/>
          <w:sz w:val="24"/>
          <w:szCs w:val="24"/>
          <w:lang w:eastAsia="hr-HR"/>
        </w:rPr>
      </w:pPr>
      <w:r w:rsidRPr="004665E0">
        <w:rPr>
          <w:rFonts w:ascii="Times New Roman" w:eastAsia="Calibri" w:hAnsi="Times New Roman" w:cs="Times New Roman"/>
          <w:iCs/>
          <w:sz w:val="24"/>
          <w:szCs w:val="24"/>
          <w:lang w:eastAsia="hr-HR"/>
        </w:rPr>
        <w:t>Ured je u 202</w:t>
      </w:r>
      <w:r>
        <w:rPr>
          <w:rFonts w:ascii="Times New Roman" w:eastAsia="Calibri" w:hAnsi="Times New Roman" w:cs="Times New Roman"/>
          <w:iCs/>
          <w:sz w:val="24"/>
          <w:szCs w:val="24"/>
          <w:lang w:eastAsia="hr-HR"/>
        </w:rPr>
        <w:t>2</w:t>
      </w:r>
      <w:r w:rsidRPr="004665E0">
        <w:rPr>
          <w:rFonts w:ascii="Times New Roman" w:eastAsia="Calibri" w:hAnsi="Times New Roman" w:cs="Times New Roman"/>
          <w:iCs/>
          <w:sz w:val="24"/>
          <w:szCs w:val="24"/>
          <w:lang w:eastAsia="hr-HR"/>
        </w:rPr>
        <w:t>. otvorio ukupno 4</w:t>
      </w:r>
      <w:r>
        <w:rPr>
          <w:rFonts w:ascii="Times New Roman" w:eastAsia="Calibri" w:hAnsi="Times New Roman" w:cs="Times New Roman"/>
          <w:iCs/>
          <w:sz w:val="24"/>
          <w:szCs w:val="24"/>
          <w:lang w:eastAsia="hr-HR"/>
        </w:rPr>
        <w:t>71</w:t>
      </w:r>
      <w:r w:rsidRPr="004665E0">
        <w:rPr>
          <w:rFonts w:ascii="Times New Roman" w:eastAsia="Calibri" w:hAnsi="Times New Roman" w:cs="Times New Roman"/>
          <w:iCs/>
          <w:sz w:val="24"/>
          <w:szCs w:val="24"/>
          <w:lang w:eastAsia="hr-HR"/>
        </w:rPr>
        <w:t xml:space="preserve"> </w:t>
      </w:r>
      <w:r w:rsidR="00F93540">
        <w:rPr>
          <w:rFonts w:ascii="Times New Roman" w:eastAsia="Calibri" w:hAnsi="Times New Roman" w:cs="Times New Roman"/>
          <w:iCs/>
          <w:sz w:val="24"/>
          <w:szCs w:val="24"/>
          <w:lang w:eastAsia="hr-HR"/>
        </w:rPr>
        <w:t>analitički predmet</w:t>
      </w:r>
      <w:r w:rsidRPr="004665E0">
        <w:rPr>
          <w:rFonts w:ascii="Times New Roman" w:eastAsia="Calibri" w:hAnsi="Times New Roman" w:cs="Times New Roman"/>
          <w:iCs/>
          <w:sz w:val="24"/>
          <w:szCs w:val="24"/>
          <w:lang w:eastAsia="hr-HR"/>
        </w:rPr>
        <w:t xml:space="preserve"> (4</w:t>
      </w:r>
      <w:r>
        <w:rPr>
          <w:rFonts w:ascii="Times New Roman" w:eastAsia="Calibri" w:hAnsi="Times New Roman" w:cs="Times New Roman"/>
          <w:iCs/>
          <w:sz w:val="24"/>
          <w:szCs w:val="24"/>
          <w:lang w:eastAsia="hr-HR"/>
        </w:rPr>
        <w:t>65</w:t>
      </w:r>
      <w:r w:rsidRPr="004665E0">
        <w:rPr>
          <w:rFonts w:ascii="Times New Roman" w:eastAsia="Calibri" w:hAnsi="Times New Roman" w:cs="Times New Roman"/>
          <w:iCs/>
          <w:sz w:val="24"/>
          <w:szCs w:val="24"/>
          <w:lang w:eastAsia="hr-HR"/>
        </w:rPr>
        <w:t xml:space="preserve"> predmeta sa sumnjom na pranje novca i </w:t>
      </w:r>
      <w:r>
        <w:rPr>
          <w:rFonts w:ascii="Times New Roman" w:eastAsia="Calibri" w:hAnsi="Times New Roman" w:cs="Times New Roman"/>
          <w:iCs/>
          <w:sz w:val="24"/>
          <w:szCs w:val="24"/>
          <w:lang w:eastAsia="hr-HR"/>
        </w:rPr>
        <w:t>6</w:t>
      </w:r>
      <w:r w:rsidRPr="004665E0">
        <w:rPr>
          <w:rFonts w:ascii="Times New Roman" w:eastAsia="Calibri" w:hAnsi="Times New Roman" w:cs="Times New Roman"/>
          <w:iCs/>
          <w:sz w:val="24"/>
          <w:szCs w:val="24"/>
          <w:lang w:eastAsia="hr-HR"/>
        </w:rPr>
        <w:t xml:space="preserve"> predmeta sa sumnjom na financiranje terorizma) od kojih je 2</w:t>
      </w:r>
      <w:r>
        <w:rPr>
          <w:rFonts w:ascii="Times New Roman" w:eastAsia="Calibri" w:hAnsi="Times New Roman" w:cs="Times New Roman"/>
          <w:iCs/>
          <w:sz w:val="24"/>
          <w:szCs w:val="24"/>
          <w:lang w:eastAsia="hr-HR"/>
        </w:rPr>
        <w:t>70</w:t>
      </w:r>
      <w:r w:rsidRPr="004665E0">
        <w:rPr>
          <w:rFonts w:ascii="Times New Roman" w:eastAsia="Calibri" w:hAnsi="Times New Roman" w:cs="Times New Roman"/>
          <w:iCs/>
          <w:sz w:val="24"/>
          <w:szCs w:val="24"/>
          <w:lang w:eastAsia="hr-HR"/>
        </w:rPr>
        <w:t xml:space="preserve"> predmeta otvoreno na temelju zaprimljenih sumnjivih transakcija od banaka i drugih obveznika, </w:t>
      </w:r>
      <w:r>
        <w:rPr>
          <w:rFonts w:ascii="Times New Roman" w:eastAsia="Calibri" w:hAnsi="Times New Roman" w:cs="Times New Roman"/>
          <w:iCs/>
          <w:sz w:val="24"/>
          <w:szCs w:val="24"/>
          <w:lang w:eastAsia="hr-HR"/>
        </w:rPr>
        <w:t>8</w:t>
      </w:r>
      <w:r w:rsidR="002C2113">
        <w:rPr>
          <w:rFonts w:ascii="Times New Roman" w:eastAsia="Calibri" w:hAnsi="Times New Roman" w:cs="Times New Roman"/>
          <w:iCs/>
          <w:sz w:val="24"/>
          <w:szCs w:val="24"/>
          <w:lang w:eastAsia="hr-HR"/>
        </w:rPr>
        <w:t>5</w:t>
      </w:r>
      <w:r>
        <w:rPr>
          <w:rFonts w:ascii="Times New Roman" w:eastAsia="Calibri" w:hAnsi="Times New Roman" w:cs="Times New Roman"/>
          <w:iCs/>
          <w:sz w:val="24"/>
          <w:szCs w:val="24"/>
          <w:lang w:eastAsia="hr-HR"/>
        </w:rPr>
        <w:t xml:space="preserve"> </w:t>
      </w:r>
      <w:r w:rsidRPr="004665E0">
        <w:rPr>
          <w:rFonts w:ascii="Times New Roman" w:eastAsia="Calibri" w:hAnsi="Times New Roman" w:cs="Times New Roman"/>
          <w:iCs/>
          <w:sz w:val="24"/>
          <w:szCs w:val="24"/>
          <w:lang w:eastAsia="hr-HR"/>
        </w:rPr>
        <w:t xml:space="preserve">predmeta na temelju zaprimljenih prijedloga </w:t>
      </w:r>
      <w:r w:rsidR="008C5D12">
        <w:rPr>
          <w:rFonts w:ascii="Times New Roman" w:eastAsia="Calibri" w:hAnsi="Times New Roman" w:cs="Times New Roman"/>
          <w:iCs/>
          <w:sz w:val="24"/>
          <w:szCs w:val="24"/>
          <w:lang w:eastAsia="hr-HR"/>
        </w:rPr>
        <w:t>nadležnih</w:t>
      </w:r>
      <w:r w:rsidRPr="004665E0">
        <w:rPr>
          <w:rFonts w:ascii="Times New Roman" w:eastAsia="Calibri" w:hAnsi="Times New Roman" w:cs="Times New Roman"/>
          <w:iCs/>
          <w:sz w:val="24"/>
          <w:szCs w:val="24"/>
          <w:lang w:eastAsia="hr-HR"/>
        </w:rPr>
        <w:t xml:space="preserve"> tijela za analitičku obradu transakcija sa sumnjom na pranje novca i financiranje terorizma i 1</w:t>
      </w:r>
      <w:r>
        <w:rPr>
          <w:rFonts w:ascii="Times New Roman" w:eastAsia="Calibri" w:hAnsi="Times New Roman" w:cs="Times New Roman"/>
          <w:iCs/>
          <w:sz w:val="24"/>
          <w:szCs w:val="24"/>
          <w:lang w:eastAsia="hr-HR"/>
        </w:rPr>
        <w:t>16</w:t>
      </w:r>
      <w:r w:rsidRPr="004665E0">
        <w:rPr>
          <w:rFonts w:ascii="Times New Roman" w:eastAsia="Calibri" w:hAnsi="Times New Roman" w:cs="Times New Roman"/>
          <w:iCs/>
          <w:sz w:val="24"/>
          <w:szCs w:val="24"/>
          <w:lang w:eastAsia="hr-HR"/>
        </w:rPr>
        <w:t xml:space="preserve"> predmeta na temelju </w:t>
      </w:r>
      <w:r w:rsidR="00E2708E">
        <w:rPr>
          <w:rFonts w:ascii="Times New Roman" w:eastAsia="Calibri" w:hAnsi="Times New Roman" w:cs="Times New Roman"/>
          <w:iCs/>
          <w:sz w:val="24"/>
          <w:szCs w:val="24"/>
          <w:lang w:eastAsia="hr-HR"/>
        </w:rPr>
        <w:t>obavijesti sa sumnjom na pran</w:t>
      </w:r>
      <w:r w:rsidR="000C417F">
        <w:rPr>
          <w:rFonts w:ascii="Times New Roman" w:eastAsia="Calibri" w:hAnsi="Times New Roman" w:cs="Times New Roman"/>
          <w:iCs/>
          <w:sz w:val="24"/>
          <w:szCs w:val="24"/>
          <w:lang w:eastAsia="hr-HR"/>
        </w:rPr>
        <w:t xml:space="preserve">je novca i financiranja terorizma </w:t>
      </w:r>
      <w:r w:rsidR="000C417F" w:rsidRPr="0078781B">
        <w:rPr>
          <w:rFonts w:ascii="Times New Roman" w:eastAsia="Calibri" w:hAnsi="Times New Roman" w:cs="Times New Roman"/>
          <w:sz w:val="24"/>
          <w:szCs w:val="24"/>
        </w:rPr>
        <w:t>(</w:t>
      </w:r>
      <w:r w:rsidR="000C417F">
        <w:rPr>
          <w:rFonts w:ascii="Times New Roman" w:eastAsia="Calibri" w:hAnsi="Times New Roman" w:cs="Times New Roman"/>
          <w:sz w:val="24"/>
          <w:szCs w:val="24"/>
        </w:rPr>
        <w:t>zamolba/spontanih dostava podataka</w:t>
      </w:r>
      <w:r w:rsidR="000C417F" w:rsidRPr="0078781B">
        <w:rPr>
          <w:rFonts w:ascii="Times New Roman" w:eastAsia="Calibri" w:hAnsi="Times New Roman" w:cs="Times New Roman"/>
          <w:sz w:val="24"/>
          <w:szCs w:val="24"/>
        </w:rPr>
        <w:t xml:space="preserve">) </w:t>
      </w:r>
      <w:r w:rsidR="00E2708E">
        <w:rPr>
          <w:rFonts w:ascii="Times New Roman" w:eastAsia="Calibri" w:hAnsi="Times New Roman" w:cs="Times New Roman"/>
          <w:iCs/>
          <w:sz w:val="24"/>
          <w:szCs w:val="24"/>
          <w:lang w:eastAsia="hr-HR"/>
        </w:rPr>
        <w:t xml:space="preserve">zaprimljenih </w:t>
      </w:r>
      <w:r w:rsidR="00363226">
        <w:rPr>
          <w:rFonts w:ascii="Times New Roman" w:eastAsia="Calibri" w:hAnsi="Times New Roman" w:cs="Times New Roman"/>
          <w:iCs/>
          <w:sz w:val="24"/>
          <w:szCs w:val="24"/>
          <w:lang w:eastAsia="hr-HR"/>
        </w:rPr>
        <w:t xml:space="preserve">od </w:t>
      </w:r>
      <w:r w:rsidRPr="004665E0">
        <w:rPr>
          <w:rFonts w:ascii="Times New Roman" w:eastAsia="Calibri" w:hAnsi="Times New Roman" w:cs="Times New Roman"/>
          <w:iCs/>
          <w:sz w:val="24"/>
          <w:szCs w:val="24"/>
          <w:lang w:eastAsia="hr-HR"/>
        </w:rPr>
        <w:t>inozemnih financijsko-obavještajnih jedinica</w:t>
      </w:r>
      <w:r w:rsidR="00363226">
        <w:rPr>
          <w:rFonts w:ascii="Times New Roman" w:eastAsia="Calibri" w:hAnsi="Times New Roman" w:cs="Times New Roman"/>
          <w:iCs/>
          <w:sz w:val="24"/>
          <w:szCs w:val="24"/>
          <w:lang w:eastAsia="hr-HR"/>
        </w:rPr>
        <w:t xml:space="preserve"> </w:t>
      </w:r>
      <w:r w:rsidRPr="004665E0">
        <w:rPr>
          <w:rFonts w:ascii="Times New Roman" w:eastAsia="Calibri" w:hAnsi="Times New Roman" w:cs="Times New Roman"/>
          <w:iCs/>
          <w:sz w:val="24"/>
          <w:szCs w:val="24"/>
          <w:lang w:eastAsia="hr-HR"/>
        </w:rPr>
        <w:t xml:space="preserve">kako je prikazano u Tablici </w:t>
      </w:r>
      <w:r w:rsidR="005323C8">
        <w:rPr>
          <w:rFonts w:ascii="Times New Roman" w:eastAsia="Calibri" w:hAnsi="Times New Roman" w:cs="Times New Roman"/>
          <w:iCs/>
          <w:sz w:val="24"/>
          <w:szCs w:val="24"/>
          <w:lang w:eastAsia="hr-HR"/>
        </w:rPr>
        <w:t>4</w:t>
      </w:r>
      <w:r w:rsidRPr="004665E0">
        <w:rPr>
          <w:rFonts w:ascii="Times New Roman" w:eastAsia="Calibri" w:hAnsi="Times New Roman" w:cs="Times New Roman"/>
          <w:iCs/>
          <w:sz w:val="24"/>
          <w:szCs w:val="24"/>
          <w:lang w:eastAsia="hr-HR"/>
        </w:rPr>
        <w:t>.</w:t>
      </w:r>
    </w:p>
    <w:p w14:paraId="64166DED" w14:textId="77777777" w:rsidR="002C2113" w:rsidRDefault="002C2113" w:rsidP="002C2113">
      <w:pPr>
        <w:spacing w:after="0" w:line="240" w:lineRule="auto"/>
        <w:jc w:val="both"/>
        <w:rPr>
          <w:rFonts w:ascii="Times New Roman" w:eastAsia="Calibri" w:hAnsi="Times New Roman" w:cs="Times New Roman"/>
          <w:iCs/>
          <w:sz w:val="24"/>
          <w:szCs w:val="24"/>
          <w:u w:val="single"/>
          <w:lang w:eastAsia="hr-HR"/>
        </w:rPr>
      </w:pPr>
    </w:p>
    <w:p w14:paraId="287A480D" w14:textId="01FB867C" w:rsidR="00CC1981" w:rsidRDefault="002C2113" w:rsidP="002C2113">
      <w:pPr>
        <w:spacing w:after="0" w:line="240" w:lineRule="auto"/>
        <w:jc w:val="both"/>
      </w:pPr>
      <w:r w:rsidRPr="00BD2F10">
        <w:rPr>
          <w:rFonts w:ascii="Times New Roman" w:eastAsia="Calibri" w:hAnsi="Times New Roman" w:cs="Times New Roman"/>
          <w:iCs/>
          <w:sz w:val="24"/>
          <w:szCs w:val="24"/>
          <w:lang w:eastAsia="hr-HR"/>
        </w:rPr>
        <w:t xml:space="preserve">Tablica </w:t>
      </w:r>
      <w:r w:rsidR="005323C8" w:rsidRPr="00BD2F10">
        <w:rPr>
          <w:rFonts w:ascii="Times New Roman" w:eastAsia="Calibri" w:hAnsi="Times New Roman" w:cs="Times New Roman"/>
          <w:iCs/>
          <w:sz w:val="24"/>
          <w:szCs w:val="24"/>
          <w:lang w:eastAsia="hr-HR"/>
        </w:rPr>
        <w:t>4</w:t>
      </w:r>
      <w:r w:rsidRPr="00BD2F10">
        <w:rPr>
          <w:rFonts w:ascii="Times New Roman" w:eastAsia="Calibri" w:hAnsi="Times New Roman" w:cs="Times New Roman"/>
          <w:iCs/>
          <w:sz w:val="24"/>
          <w:szCs w:val="24"/>
          <w:lang w:eastAsia="hr-HR"/>
        </w:rPr>
        <w:t xml:space="preserve">. </w:t>
      </w:r>
      <w:r w:rsidRPr="00BD2F10">
        <w:rPr>
          <w:rFonts w:ascii="Times New Roman" w:eastAsia="Calibri" w:hAnsi="Times New Roman" w:cs="Times New Roman"/>
          <w:bCs/>
          <w:iCs/>
          <w:sz w:val="24"/>
          <w:szCs w:val="24"/>
        </w:rPr>
        <w:t>Broj otvorenih predmeta (analitičkih obrada)</w:t>
      </w:r>
      <w:r w:rsidR="00CC1981">
        <w:rPr>
          <w:rFonts w:ascii="Times New Roman" w:eastAsia="Calibri" w:hAnsi="Times New Roman" w:cs="Times New Roman"/>
          <w:bCs/>
          <w:iCs/>
          <w:sz w:val="24"/>
          <w:szCs w:val="24"/>
        </w:rPr>
        <w:t xml:space="preserve"> Ureda</w:t>
      </w:r>
      <w:r w:rsidRPr="00BD2F10">
        <w:rPr>
          <w:rFonts w:ascii="Times New Roman" w:eastAsia="Calibri" w:hAnsi="Times New Roman" w:cs="Times New Roman"/>
          <w:bCs/>
          <w:iCs/>
          <w:sz w:val="24"/>
          <w:szCs w:val="24"/>
        </w:rPr>
        <w:t xml:space="preserve"> u </w:t>
      </w:r>
      <w:r w:rsidR="00CC1981">
        <w:rPr>
          <w:rFonts w:ascii="Times New Roman" w:eastAsia="Calibri" w:hAnsi="Times New Roman" w:cs="Times New Roman"/>
          <w:bCs/>
          <w:iCs/>
          <w:sz w:val="24"/>
          <w:szCs w:val="24"/>
        </w:rPr>
        <w:t xml:space="preserve">2021. i </w:t>
      </w:r>
      <w:r w:rsidRPr="00BD2F10">
        <w:rPr>
          <w:rFonts w:ascii="Times New Roman" w:eastAsia="Calibri" w:hAnsi="Times New Roman" w:cs="Times New Roman"/>
          <w:sz w:val="24"/>
          <w:szCs w:val="24"/>
        </w:rPr>
        <w:t>2022. po prijaviteljima</w:t>
      </w:r>
      <w:r w:rsidR="00BD2F10" w:rsidRPr="00BD2F10">
        <w:rPr>
          <w:rFonts w:ascii="Times New Roman" w:eastAsia="Calibri" w:hAnsi="Times New Roman" w:cs="Times New Roman"/>
          <w:sz w:val="24"/>
          <w:szCs w:val="24"/>
        </w:rPr>
        <w:t xml:space="preserve"> obavijesti o sumnjivim transakcijama ili sredstvima</w:t>
      </w:r>
      <w:r w:rsidR="00CC1981">
        <w:fldChar w:fldCharType="begin"/>
      </w:r>
      <w:r w:rsidR="00CC1981">
        <w:instrText xml:space="preserve"> LINK Excel.Sheet.12 "C:\\Users\\abilus\\Desktop\\Posao\\TABLICE ANALITIKE.xlsx" "List1!R1C1:R7C7" \a \f 4 \h </w:instrText>
      </w:r>
      <w:r w:rsidR="00CC1981">
        <w:fldChar w:fldCharType="separate"/>
      </w:r>
    </w:p>
    <w:tbl>
      <w:tblPr>
        <w:tblW w:w="8340" w:type="dxa"/>
        <w:tblLook w:val="04A0" w:firstRow="1" w:lastRow="0" w:firstColumn="1" w:lastColumn="0" w:noHBand="0" w:noVBand="1"/>
      </w:tblPr>
      <w:tblGrid>
        <w:gridCol w:w="3306"/>
        <w:gridCol w:w="723"/>
        <w:gridCol w:w="718"/>
        <w:gridCol w:w="1076"/>
        <w:gridCol w:w="723"/>
        <w:gridCol w:w="718"/>
        <w:gridCol w:w="1076"/>
      </w:tblGrid>
      <w:tr w:rsidR="00CC1981" w:rsidRPr="00CC1981" w14:paraId="673CAD53" w14:textId="77777777" w:rsidTr="00CC1981">
        <w:trPr>
          <w:trHeight w:val="501"/>
        </w:trPr>
        <w:tc>
          <w:tcPr>
            <w:tcW w:w="346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45E9F04" w14:textId="2FCB61F9" w:rsidR="00CC1981" w:rsidRPr="00CC1981" w:rsidRDefault="00CC1981" w:rsidP="00CC1981">
            <w:pPr>
              <w:spacing w:after="0" w:line="240" w:lineRule="auto"/>
              <w:rPr>
                <w:rFonts w:ascii="Times New Roman" w:eastAsia="Times New Roman" w:hAnsi="Times New Roman" w:cs="Times New Roman"/>
                <w:b/>
                <w:bCs/>
                <w:color w:val="000000"/>
                <w:sz w:val="24"/>
                <w:szCs w:val="24"/>
                <w:lang w:eastAsia="hr-HR"/>
              </w:rPr>
            </w:pPr>
            <w:r w:rsidRPr="00CC1981">
              <w:rPr>
                <w:rFonts w:ascii="Times New Roman" w:eastAsia="Times New Roman" w:hAnsi="Times New Roman" w:cs="Times New Roman"/>
                <w:b/>
                <w:bCs/>
                <w:color w:val="000000"/>
                <w:sz w:val="24"/>
                <w:szCs w:val="24"/>
                <w:lang w:eastAsia="hr-HR"/>
              </w:rPr>
              <w:t>OTVORENI PREDMETI PO IZVORU INFORMACIJA</w:t>
            </w:r>
          </w:p>
        </w:tc>
        <w:tc>
          <w:tcPr>
            <w:tcW w:w="2440" w:type="dxa"/>
            <w:gridSpan w:val="3"/>
            <w:tcBorders>
              <w:top w:val="single" w:sz="8" w:space="0" w:color="auto"/>
              <w:left w:val="nil"/>
              <w:bottom w:val="single" w:sz="8" w:space="0" w:color="auto"/>
              <w:right w:val="single" w:sz="8" w:space="0" w:color="000000"/>
            </w:tcBorders>
            <w:shd w:val="clear" w:color="000000" w:fill="F2F2F2"/>
            <w:vAlign w:val="center"/>
            <w:hideMark/>
          </w:tcPr>
          <w:p w14:paraId="4D073B63" w14:textId="77777777" w:rsidR="00CC1981" w:rsidRPr="00CC1981" w:rsidRDefault="00CC1981" w:rsidP="00CC1981">
            <w:pPr>
              <w:spacing w:after="0" w:line="240" w:lineRule="auto"/>
              <w:jc w:val="center"/>
              <w:rPr>
                <w:rFonts w:ascii="Times New Roman" w:eastAsia="Times New Roman" w:hAnsi="Times New Roman" w:cs="Times New Roman"/>
                <w:b/>
                <w:bCs/>
                <w:color w:val="000000"/>
                <w:sz w:val="24"/>
                <w:szCs w:val="24"/>
                <w:lang w:eastAsia="hr-HR"/>
              </w:rPr>
            </w:pPr>
            <w:r w:rsidRPr="00CC1981">
              <w:rPr>
                <w:rFonts w:ascii="Times New Roman" w:eastAsia="Times New Roman" w:hAnsi="Times New Roman" w:cs="Times New Roman"/>
                <w:b/>
                <w:bCs/>
                <w:color w:val="000000"/>
                <w:sz w:val="24"/>
                <w:szCs w:val="24"/>
                <w:lang w:eastAsia="hr-HR"/>
              </w:rPr>
              <w:t>2021.</w:t>
            </w:r>
          </w:p>
        </w:tc>
        <w:tc>
          <w:tcPr>
            <w:tcW w:w="2440" w:type="dxa"/>
            <w:gridSpan w:val="3"/>
            <w:tcBorders>
              <w:top w:val="single" w:sz="8" w:space="0" w:color="auto"/>
              <w:left w:val="nil"/>
              <w:bottom w:val="single" w:sz="8" w:space="0" w:color="auto"/>
              <w:right w:val="single" w:sz="8" w:space="0" w:color="000000"/>
            </w:tcBorders>
            <w:shd w:val="clear" w:color="000000" w:fill="F2F2F2"/>
            <w:vAlign w:val="center"/>
            <w:hideMark/>
          </w:tcPr>
          <w:p w14:paraId="297E2420" w14:textId="77777777" w:rsidR="00CC1981" w:rsidRPr="00CC1981" w:rsidRDefault="00CC1981" w:rsidP="00CC1981">
            <w:pPr>
              <w:spacing w:after="0" w:line="240" w:lineRule="auto"/>
              <w:jc w:val="center"/>
              <w:rPr>
                <w:rFonts w:ascii="Times New Roman" w:eastAsia="Times New Roman" w:hAnsi="Times New Roman" w:cs="Times New Roman"/>
                <w:b/>
                <w:bCs/>
                <w:color w:val="000000"/>
                <w:sz w:val="24"/>
                <w:szCs w:val="24"/>
                <w:lang w:eastAsia="hr-HR"/>
              </w:rPr>
            </w:pPr>
            <w:r w:rsidRPr="00CC1981">
              <w:rPr>
                <w:rFonts w:ascii="Times New Roman" w:eastAsia="Times New Roman" w:hAnsi="Times New Roman" w:cs="Times New Roman"/>
                <w:b/>
                <w:bCs/>
                <w:color w:val="000000"/>
                <w:sz w:val="24"/>
                <w:szCs w:val="24"/>
                <w:lang w:eastAsia="hr-HR"/>
              </w:rPr>
              <w:t>2022.</w:t>
            </w:r>
          </w:p>
        </w:tc>
      </w:tr>
      <w:tr w:rsidR="00CC1981" w:rsidRPr="00CC1981" w14:paraId="105044E4" w14:textId="77777777" w:rsidTr="00CC1981">
        <w:trPr>
          <w:trHeight w:val="501"/>
        </w:trPr>
        <w:tc>
          <w:tcPr>
            <w:tcW w:w="3460" w:type="dxa"/>
            <w:vMerge/>
            <w:tcBorders>
              <w:top w:val="single" w:sz="8" w:space="0" w:color="auto"/>
              <w:left w:val="single" w:sz="8" w:space="0" w:color="auto"/>
              <w:bottom w:val="single" w:sz="8" w:space="0" w:color="000000"/>
              <w:right w:val="single" w:sz="8" w:space="0" w:color="auto"/>
            </w:tcBorders>
            <w:vAlign w:val="center"/>
            <w:hideMark/>
          </w:tcPr>
          <w:p w14:paraId="1DD230DB" w14:textId="77777777" w:rsidR="00CC1981" w:rsidRPr="00CC1981" w:rsidRDefault="00CC1981" w:rsidP="00CC1981">
            <w:pPr>
              <w:spacing w:after="0" w:line="240" w:lineRule="auto"/>
              <w:rPr>
                <w:rFonts w:ascii="Times New Roman" w:eastAsia="Times New Roman" w:hAnsi="Times New Roman" w:cs="Times New Roman"/>
                <w:b/>
                <w:bCs/>
                <w:color w:val="000000"/>
                <w:sz w:val="24"/>
                <w:szCs w:val="24"/>
                <w:lang w:eastAsia="hr-HR"/>
              </w:rPr>
            </w:pPr>
          </w:p>
        </w:tc>
        <w:tc>
          <w:tcPr>
            <w:tcW w:w="740" w:type="dxa"/>
            <w:tcBorders>
              <w:top w:val="nil"/>
              <w:left w:val="nil"/>
              <w:bottom w:val="single" w:sz="8" w:space="0" w:color="auto"/>
              <w:right w:val="single" w:sz="8" w:space="0" w:color="auto"/>
            </w:tcBorders>
            <w:shd w:val="clear" w:color="000000" w:fill="F2F2F2"/>
            <w:vAlign w:val="center"/>
            <w:hideMark/>
          </w:tcPr>
          <w:p w14:paraId="23A90406" w14:textId="77777777" w:rsidR="00CC1981" w:rsidRPr="00CC1981" w:rsidRDefault="00CC1981" w:rsidP="00CC1981">
            <w:pPr>
              <w:spacing w:after="0" w:line="240" w:lineRule="auto"/>
              <w:jc w:val="center"/>
              <w:rPr>
                <w:rFonts w:ascii="Times New Roman" w:eastAsia="Times New Roman" w:hAnsi="Times New Roman" w:cs="Times New Roman"/>
                <w:b/>
                <w:bCs/>
                <w:color w:val="000000"/>
                <w:sz w:val="24"/>
                <w:szCs w:val="24"/>
                <w:lang w:eastAsia="hr-HR"/>
              </w:rPr>
            </w:pPr>
            <w:r w:rsidRPr="00CC1981">
              <w:rPr>
                <w:rFonts w:ascii="Times New Roman" w:eastAsia="Times New Roman" w:hAnsi="Times New Roman" w:cs="Times New Roman"/>
                <w:b/>
                <w:bCs/>
                <w:color w:val="000000"/>
                <w:sz w:val="24"/>
                <w:szCs w:val="24"/>
                <w:lang w:eastAsia="hr-HR"/>
              </w:rPr>
              <w:t>PN</w:t>
            </w:r>
          </w:p>
        </w:tc>
        <w:tc>
          <w:tcPr>
            <w:tcW w:w="740" w:type="dxa"/>
            <w:tcBorders>
              <w:top w:val="nil"/>
              <w:left w:val="nil"/>
              <w:bottom w:val="single" w:sz="8" w:space="0" w:color="auto"/>
              <w:right w:val="single" w:sz="8" w:space="0" w:color="auto"/>
            </w:tcBorders>
            <w:shd w:val="clear" w:color="000000" w:fill="F2F2F2"/>
            <w:vAlign w:val="center"/>
            <w:hideMark/>
          </w:tcPr>
          <w:p w14:paraId="260C1214" w14:textId="77777777" w:rsidR="00CC1981" w:rsidRPr="00CC1981" w:rsidRDefault="00CC1981" w:rsidP="00CC1981">
            <w:pPr>
              <w:spacing w:after="0" w:line="240" w:lineRule="auto"/>
              <w:jc w:val="center"/>
              <w:rPr>
                <w:rFonts w:ascii="Times New Roman" w:eastAsia="Times New Roman" w:hAnsi="Times New Roman" w:cs="Times New Roman"/>
                <w:b/>
                <w:bCs/>
                <w:color w:val="000000"/>
                <w:sz w:val="24"/>
                <w:szCs w:val="24"/>
                <w:lang w:eastAsia="hr-HR"/>
              </w:rPr>
            </w:pPr>
            <w:r w:rsidRPr="00CC1981">
              <w:rPr>
                <w:rFonts w:ascii="Times New Roman" w:eastAsia="Times New Roman" w:hAnsi="Times New Roman" w:cs="Times New Roman"/>
                <w:b/>
                <w:bCs/>
                <w:color w:val="000000"/>
                <w:sz w:val="24"/>
                <w:szCs w:val="24"/>
                <w:lang w:eastAsia="hr-HR"/>
              </w:rPr>
              <w:t>FT</w:t>
            </w:r>
          </w:p>
        </w:tc>
        <w:tc>
          <w:tcPr>
            <w:tcW w:w="960" w:type="dxa"/>
            <w:tcBorders>
              <w:top w:val="nil"/>
              <w:left w:val="nil"/>
              <w:bottom w:val="single" w:sz="8" w:space="0" w:color="auto"/>
              <w:right w:val="single" w:sz="8" w:space="0" w:color="auto"/>
            </w:tcBorders>
            <w:shd w:val="clear" w:color="000000" w:fill="F2F2F2"/>
            <w:noWrap/>
            <w:vAlign w:val="center"/>
            <w:hideMark/>
          </w:tcPr>
          <w:p w14:paraId="381E5013" w14:textId="77777777" w:rsidR="00CC1981" w:rsidRPr="00CC1981" w:rsidRDefault="00CC1981" w:rsidP="00CC1981">
            <w:pPr>
              <w:spacing w:after="0" w:line="240" w:lineRule="auto"/>
              <w:jc w:val="center"/>
              <w:rPr>
                <w:rFonts w:ascii="Times New Roman" w:eastAsia="Times New Roman" w:hAnsi="Times New Roman" w:cs="Times New Roman"/>
                <w:b/>
                <w:bCs/>
                <w:color w:val="000000"/>
                <w:sz w:val="24"/>
                <w:szCs w:val="24"/>
                <w:lang w:eastAsia="hr-HR"/>
              </w:rPr>
            </w:pPr>
            <w:r w:rsidRPr="00CC1981">
              <w:rPr>
                <w:rFonts w:ascii="Times New Roman" w:eastAsia="Times New Roman" w:hAnsi="Times New Roman" w:cs="Times New Roman"/>
                <w:b/>
                <w:bCs/>
                <w:color w:val="000000"/>
                <w:sz w:val="24"/>
                <w:szCs w:val="24"/>
                <w:lang w:eastAsia="hr-HR"/>
              </w:rPr>
              <w:t>%</w:t>
            </w:r>
          </w:p>
        </w:tc>
        <w:tc>
          <w:tcPr>
            <w:tcW w:w="740" w:type="dxa"/>
            <w:tcBorders>
              <w:top w:val="nil"/>
              <w:left w:val="nil"/>
              <w:bottom w:val="single" w:sz="8" w:space="0" w:color="auto"/>
              <w:right w:val="single" w:sz="8" w:space="0" w:color="auto"/>
            </w:tcBorders>
            <w:shd w:val="clear" w:color="000000" w:fill="F2F2F2"/>
            <w:vAlign w:val="center"/>
            <w:hideMark/>
          </w:tcPr>
          <w:p w14:paraId="7DF2B553" w14:textId="77777777" w:rsidR="00CC1981" w:rsidRPr="00CC1981" w:rsidRDefault="00CC1981" w:rsidP="00CC1981">
            <w:pPr>
              <w:spacing w:after="0" w:line="240" w:lineRule="auto"/>
              <w:jc w:val="center"/>
              <w:rPr>
                <w:rFonts w:ascii="Times New Roman" w:eastAsia="Times New Roman" w:hAnsi="Times New Roman" w:cs="Times New Roman"/>
                <w:b/>
                <w:bCs/>
                <w:color w:val="000000"/>
                <w:sz w:val="24"/>
                <w:szCs w:val="24"/>
                <w:lang w:eastAsia="hr-HR"/>
              </w:rPr>
            </w:pPr>
            <w:r w:rsidRPr="00CC1981">
              <w:rPr>
                <w:rFonts w:ascii="Times New Roman" w:eastAsia="Times New Roman" w:hAnsi="Times New Roman" w:cs="Times New Roman"/>
                <w:b/>
                <w:bCs/>
                <w:color w:val="000000"/>
                <w:sz w:val="24"/>
                <w:szCs w:val="24"/>
                <w:lang w:eastAsia="hr-HR"/>
              </w:rPr>
              <w:t>PN</w:t>
            </w:r>
          </w:p>
        </w:tc>
        <w:tc>
          <w:tcPr>
            <w:tcW w:w="740" w:type="dxa"/>
            <w:tcBorders>
              <w:top w:val="nil"/>
              <w:left w:val="nil"/>
              <w:bottom w:val="single" w:sz="8" w:space="0" w:color="auto"/>
              <w:right w:val="single" w:sz="8" w:space="0" w:color="auto"/>
            </w:tcBorders>
            <w:shd w:val="clear" w:color="000000" w:fill="F2F2F2"/>
            <w:vAlign w:val="center"/>
            <w:hideMark/>
          </w:tcPr>
          <w:p w14:paraId="63233BD8" w14:textId="77777777" w:rsidR="00CC1981" w:rsidRPr="00CC1981" w:rsidRDefault="00CC1981" w:rsidP="00CC1981">
            <w:pPr>
              <w:spacing w:after="0" w:line="240" w:lineRule="auto"/>
              <w:jc w:val="center"/>
              <w:rPr>
                <w:rFonts w:ascii="Times New Roman" w:eastAsia="Times New Roman" w:hAnsi="Times New Roman" w:cs="Times New Roman"/>
                <w:b/>
                <w:bCs/>
                <w:color w:val="000000"/>
                <w:sz w:val="24"/>
                <w:szCs w:val="24"/>
                <w:lang w:eastAsia="hr-HR"/>
              </w:rPr>
            </w:pPr>
            <w:r w:rsidRPr="00CC1981">
              <w:rPr>
                <w:rFonts w:ascii="Times New Roman" w:eastAsia="Times New Roman" w:hAnsi="Times New Roman" w:cs="Times New Roman"/>
                <w:b/>
                <w:bCs/>
                <w:color w:val="000000"/>
                <w:sz w:val="24"/>
                <w:szCs w:val="24"/>
                <w:lang w:eastAsia="hr-HR"/>
              </w:rPr>
              <w:t>FT</w:t>
            </w:r>
          </w:p>
        </w:tc>
        <w:tc>
          <w:tcPr>
            <w:tcW w:w="960" w:type="dxa"/>
            <w:tcBorders>
              <w:top w:val="nil"/>
              <w:left w:val="nil"/>
              <w:bottom w:val="single" w:sz="8" w:space="0" w:color="auto"/>
              <w:right w:val="single" w:sz="8" w:space="0" w:color="auto"/>
            </w:tcBorders>
            <w:shd w:val="clear" w:color="000000" w:fill="F2F2F2"/>
            <w:noWrap/>
            <w:vAlign w:val="center"/>
            <w:hideMark/>
          </w:tcPr>
          <w:p w14:paraId="59BBAFB3" w14:textId="77777777" w:rsidR="00CC1981" w:rsidRPr="00CC1981" w:rsidRDefault="00CC1981" w:rsidP="00CC1981">
            <w:pPr>
              <w:spacing w:after="0" w:line="240" w:lineRule="auto"/>
              <w:jc w:val="center"/>
              <w:rPr>
                <w:rFonts w:ascii="Times New Roman" w:eastAsia="Times New Roman" w:hAnsi="Times New Roman" w:cs="Times New Roman"/>
                <w:b/>
                <w:bCs/>
                <w:color w:val="000000"/>
                <w:sz w:val="24"/>
                <w:szCs w:val="24"/>
                <w:lang w:eastAsia="hr-HR"/>
              </w:rPr>
            </w:pPr>
            <w:r w:rsidRPr="00CC1981">
              <w:rPr>
                <w:rFonts w:ascii="Times New Roman" w:eastAsia="Times New Roman" w:hAnsi="Times New Roman" w:cs="Times New Roman"/>
                <w:b/>
                <w:bCs/>
                <w:color w:val="000000"/>
                <w:sz w:val="24"/>
                <w:szCs w:val="24"/>
                <w:lang w:eastAsia="hr-HR"/>
              </w:rPr>
              <w:t>%</w:t>
            </w:r>
          </w:p>
        </w:tc>
      </w:tr>
      <w:tr w:rsidR="00CC1981" w:rsidRPr="00CC1981" w14:paraId="5CE4637F" w14:textId="77777777" w:rsidTr="00CC1981">
        <w:trPr>
          <w:trHeight w:val="324"/>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726F90A7" w14:textId="77777777" w:rsidR="00CC1981" w:rsidRPr="00CC1981" w:rsidRDefault="00CC1981" w:rsidP="00CC1981">
            <w:pPr>
              <w:spacing w:after="0" w:line="240" w:lineRule="auto"/>
              <w:rPr>
                <w:rFonts w:ascii="Times New Roman" w:eastAsia="Times New Roman" w:hAnsi="Times New Roman" w:cs="Times New Roman"/>
                <w:color w:val="000000"/>
                <w:sz w:val="24"/>
                <w:szCs w:val="24"/>
                <w:lang w:eastAsia="hr-HR"/>
              </w:rPr>
            </w:pPr>
            <w:r w:rsidRPr="00CC1981">
              <w:rPr>
                <w:rFonts w:ascii="Times New Roman" w:eastAsia="Times New Roman" w:hAnsi="Times New Roman" w:cs="Times New Roman"/>
                <w:color w:val="000000"/>
                <w:sz w:val="24"/>
                <w:szCs w:val="24"/>
                <w:lang w:eastAsia="hr-HR"/>
              </w:rPr>
              <w:t xml:space="preserve">OBVEZNICI </w:t>
            </w:r>
          </w:p>
        </w:tc>
        <w:tc>
          <w:tcPr>
            <w:tcW w:w="740" w:type="dxa"/>
            <w:tcBorders>
              <w:top w:val="nil"/>
              <w:left w:val="nil"/>
              <w:bottom w:val="single" w:sz="8" w:space="0" w:color="auto"/>
              <w:right w:val="single" w:sz="8" w:space="0" w:color="auto"/>
            </w:tcBorders>
            <w:shd w:val="clear" w:color="auto" w:fill="auto"/>
            <w:vAlign w:val="center"/>
            <w:hideMark/>
          </w:tcPr>
          <w:p w14:paraId="3D0D4EDA" w14:textId="77777777" w:rsidR="00CC1981" w:rsidRPr="00CC1981" w:rsidRDefault="00CC1981" w:rsidP="00CC1981">
            <w:pPr>
              <w:spacing w:after="0" w:line="240" w:lineRule="auto"/>
              <w:jc w:val="center"/>
              <w:rPr>
                <w:rFonts w:ascii="Times New Roman" w:eastAsia="Times New Roman" w:hAnsi="Times New Roman" w:cs="Times New Roman"/>
                <w:color w:val="000000"/>
                <w:sz w:val="24"/>
                <w:szCs w:val="24"/>
                <w:lang w:eastAsia="hr-HR"/>
              </w:rPr>
            </w:pPr>
            <w:r w:rsidRPr="00CC1981">
              <w:rPr>
                <w:rFonts w:ascii="Times New Roman" w:eastAsia="Times New Roman" w:hAnsi="Times New Roman" w:cs="Times New Roman"/>
                <w:color w:val="000000"/>
                <w:sz w:val="24"/>
                <w:szCs w:val="24"/>
                <w:lang w:eastAsia="hr-HR"/>
              </w:rPr>
              <w:t>283</w:t>
            </w:r>
          </w:p>
        </w:tc>
        <w:tc>
          <w:tcPr>
            <w:tcW w:w="740" w:type="dxa"/>
            <w:tcBorders>
              <w:top w:val="nil"/>
              <w:left w:val="nil"/>
              <w:bottom w:val="single" w:sz="8" w:space="0" w:color="auto"/>
              <w:right w:val="single" w:sz="8" w:space="0" w:color="auto"/>
            </w:tcBorders>
            <w:shd w:val="clear" w:color="auto" w:fill="auto"/>
            <w:vAlign w:val="center"/>
            <w:hideMark/>
          </w:tcPr>
          <w:p w14:paraId="4296E886" w14:textId="77777777" w:rsidR="00CC1981" w:rsidRPr="00CC1981" w:rsidRDefault="00CC1981" w:rsidP="00CC1981">
            <w:pPr>
              <w:spacing w:after="0" w:line="240" w:lineRule="auto"/>
              <w:jc w:val="center"/>
              <w:rPr>
                <w:rFonts w:ascii="Times New Roman" w:eastAsia="Times New Roman" w:hAnsi="Times New Roman" w:cs="Times New Roman"/>
                <w:color w:val="000000"/>
                <w:sz w:val="24"/>
                <w:szCs w:val="24"/>
                <w:lang w:eastAsia="hr-HR"/>
              </w:rPr>
            </w:pPr>
            <w:r w:rsidRPr="00CC1981">
              <w:rPr>
                <w:rFonts w:ascii="Times New Roman" w:eastAsia="Times New Roman" w:hAnsi="Times New Roman" w:cs="Times New Roman"/>
                <w:color w:val="000000"/>
                <w:sz w:val="24"/>
                <w:szCs w:val="24"/>
                <w:lang w:eastAsia="hr-HR"/>
              </w:rPr>
              <w:t>4</w:t>
            </w:r>
          </w:p>
        </w:tc>
        <w:tc>
          <w:tcPr>
            <w:tcW w:w="960" w:type="dxa"/>
            <w:tcBorders>
              <w:top w:val="nil"/>
              <w:left w:val="nil"/>
              <w:bottom w:val="single" w:sz="8" w:space="0" w:color="auto"/>
              <w:right w:val="single" w:sz="8" w:space="0" w:color="auto"/>
            </w:tcBorders>
            <w:shd w:val="clear" w:color="auto" w:fill="auto"/>
            <w:noWrap/>
            <w:vAlign w:val="center"/>
            <w:hideMark/>
          </w:tcPr>
          <w:p w14:paraId="326322AA" w14:textId="77777777" w:rsidR="00CC1981" w:rsidRPr="00CC1981" w:rsidRDefault="00CC1981" w:rsidP="00CC1981">
            <w:pPr>
              <w:spacing w:after="0" w:line="240" w:lineRule="auto"/>
              <w:jc w:val="right"/>
              <w:rPr>
                <w:rFonts w:ascii="Times New Roman" w:eastAsia="Times New Roman" w:hAnsi="Times New Roman" w:cs="Times New Roman"/>
                <w:color w:val="000000"/>
                <w:sz w:val="24"/>
                <w:szCs w:val="24"/>
                <w:lang w:eastAsia="hr-HR"/>
              </w:rPr>
            </w:pPr>
            <w:r w:rsidRPr="00CC1981">
              <w:rPr>
                <w:rFonts w:ascii="Times New Roman" w:eastAsia="Times New Roman" w:hAnsi="Times New Roman" w:cs="Times New Roman"/>
                <w:color w:val="000000"/>
                <w:sz w:val="24"/>
                <w:szCs w:val="24"/>
                <w:lang w:eastAsia="hr-HR"/>
              </w:rPr>
              <w:t>58,81%</w:t>
            </w:r>
          </w:p>
        </w:tc>
        <w:tc>
          <w:tcPr>
            <w:tcW w:w="740" w:type="dxa"/>
            <w:tcBorders>
              <w:top w:val="nil"/>
              <w:left w:val="nil"/>
              <w:bottom w:val="single" w:sz="8" w:space="0" w:color="auto"/>
              <w:right w:val="single" w:sz="8" w:space="0" w:color="auto"/>
            </w:tcBorders>
            <w:shd w:val="clear" w:color="auto" w:fill="auto"/>
            <w:vAlign w:val="center"/>
            <w:hideMark/>
          </w:tcPr>
          <w:p w14:paraId="2035A043" w14:textId="77777777" w:rsidR="00CC1981" w:rsidRPr="00CC1981" w:rsidRDefault="00CC1981" w:rsidP="00CC1981">
            <w:pPr>
              <w:spacing w:after="0" w:line="240" w:lineRule="auto"/>
              <w:jc w:val="center"/>
              <w:rPr>
                <w:rFonts w:ascii="Times New Roman" w:eastAsia="Times New Roman" w:hAnsi="Times New Roman" w:cs="Times New Roman"/>
                <w:color w:val="000000"/>
                <w:sz w:val="24"/>
                <w:szCs w:val="24"/>
                <w:lang w:eastAsia="hr-HR"/>
              </w:rPr>
            </w:pPr>
            <w:r w:rsidRPr="00CC1981">
              <w:rPr>
                <w:rFonts w:ascii="Times New Roman" w:eastAsia="Times New Roman" w:hAnsi="Times New Roman" w:cs="Times New Roman"/>
                <w:color w:val="000000"/>
                <w:sz w:val="24"/>
                <w:szCs w:val="24"/>
                <w:lang w:eastAsia="hr-HR"/>
              </w:rPr>
              <w:t>266</w:t>
            </w:r>
          </w:p>
        </w:tc>
        <w:tc>
          <w:tcPr>
            <w:tcW w:w="740" w:type="dxa"/>
            <w:tcBorders>
              <w:top w:val="nil"/>
              <w:left w:val="nil"/>
              <w:bottom w:val="single" w:sz="8" w:space="0" w:color="auto"/>
              <w:right w:val="single" w:sz="8" w:space="0" w:color="auto"/>
            </w:tcBorders>
            <w:shd w:val="clear" w:color="auto" w:fill="auto"/>
            <w:vAlign w:val="center"/>
            <w:hideMark/>
          </w:tcPr>
          <w:p w14:paraId="4451EF46" w14:textId="77777777" w:rsidR="00CC1981" w:rsidRPr="00CC1981" w:rsidRDefault="00CC1981" w:rsidP="00CC1981">
            <w:pPr>
              <w:spacing w:after="0" w:line="240" w:lineRule="auto"/>
              <w:jc w:val="center"/>
              <w:rPr>
                <w:rFonts w:ascii="Times New Roman" w:eastAsia="Times New Roman" w:hAnsi="Times New Roman" w:cs="Times New Roman"/>
                <w:color w:val="000000"/>
                <w:sz w:val="24"/>
                <w:szCs w:val="24"/>
                <w:lang w:eastAsia="hr-HR"/>
              </w:rPr>
            </w:pPr>
            <w:r w:rsidRPr="00CC1981">
              <w:rPr>
                <w:rFonts w:ascii="Times New Roman" w:eastAsia="Times New Roman" w:hAnsi="Times New Roman" w:cs="Times New Roman"/>
                <w:color w:val="000000"/>
                <w:sz w:val="24"/>
                <w:szCs w:val="24"/>
                <w:lang w:eastAsia="hr-HR"/>
              </w:rPr>
              <w:t>4</w:t>
            </w:r>
          </w:p>
        </w:tc>
        <w:tc>
          <w:tcPr>
            <w:tcW w:w="960" w:type="dxa"/>
            <w:tcBorders>
              <w:top w:val="nil"/>
              <w:left w:val="nil"/>
              <w:bottom w:val="single" w:sz="8" w:space="0" w:color="auto"/>
              <w:right w:val="single" w:sz="8" w:space="0" w:color="auto"/>
            </w:tcBorders>
            <w:shd w:val="clear" w:color="auto" w:fill="auto"/>
            <w:noWrap/>
            <w:vAlign w:val="center"/>
            <w:hideMark/>
          </w:tcPr>
          <w:p w14:paraId="16552E78" w14:textId="77777777" w:rsidR="00CC1981" w:rsidRPr="00CC1981" w:rsidRDefault="00CC1981" w:rsidP="00CC1981">
            <w:pPr>
              <w:spacing w:after="0" w:line="240" w:lineRule="auto"/>
              <w:jc w:val="right"/>
              <w:rPr>
                <w:rFonts w:ascii="Times New Roman" w:eastAsia="Times New Roman" w:hAnsi="Times New Roman" w:cs="Times New Roman"/>
                <w:color w:val="000000"/>
                <w:sz w:val="24"/>
                <w:szCs w:val="24"/>
                <w:lang w:eastAsia="hr-HR"/>
              </w:rPr>
            </w:pPr>
            <w:r w:rsidRPr="00CC1981">
              <w:rPr>
                <w:rFonts w:ascii="Times New Roman" w:eastAsia="Times New Roman" w:hAnsi="Times New Roman" w:cs="Times New Roman"/>
                <w:color w:val="000000"/>
                <w:sz w:val="24"/>
                <w:szCs w:val="24"/>
                <w:lang w:eastAsia="hr-HR"/>
              </w:rPr>
              <w:t>57,32%</w:t>
            </w:r>
          </w:p>
        </w:tc>
      </w:tr>
      <w:tr w:rsidR="00CC1981" w:rsidRPr="00CC1981" w14:paraId="67370B23" w14:textId="77777777" w:rsidTr="00CC1981">
        <w:trPr>
          <w:trHeight w:val="324"/>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40C9D7ED" w14:textId="484C2343" w:rsidR="00CC1981" w:rsidRPr="00CC1981" w:rsidRDefault="008C5D12" w:rsidP="00CC1981">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NADLEŽNA</w:t>
            </w:r>
            <w:r w:rsidR="00CC1981" w:rsidRPr="00CC1981">
              <w:rPr>
                <w:rFonts w:ascii="Times New Roman" w:eastAsia="Times New Roman" w:hAnsi="Times New Roman" w:cs="Times New Roman"/>
                <w:color w:val="000000"/>
                <w:sz w:val="24"/>
                <w:szCs w:val="24"/>
                <w:lang w:eastAsia="hr-HR"/>
              </w:rPr>
              <w:t xml:space="preserve"> TIJELA</w:t>
            </w:r>
          </w:p>
        </w:tc>
        <w:tc>
          <w:tcPr>
            <w:tcW w:w="740" w:type="dxa"/>
            <w:tcBorders>
              <w:top w:val="nil"/>
              <w:left w:val="nil"/>
              <w:bottom w:val="single" w:sz="8" w:space="0" w:color="auto"/>
              <w:right w:val="single" w:sz="8" w:space="0" w:color="auto"/>
            </w:tcBorders>
            <w:shd w:val="clear" w:color="auto" w:fill="auto"/>
            <w:vAlign w:val="center"/>
            <w:hideMark/>
          </w:tcPr>
          <w:p w14:paraId="1A6D824E" w14:textId="77777777" w:rsidR="00CC1981" w:rsidRPr="00CC1981" w:rsidRDefault="00CC1981" w:rsidP="00CC1981">
            <w:pPr>
              <w:spacing w:after="0" w:line="240" w:lineRule="auto"/>
              <w:jc w:val="center"/>
              <w:rPr>
                <w:rFonts w:ascii="Times New Roman" w:eastAsia="Times New Roman" w:hAnsi="Times New Roman" w:cs="Times New Roman"/>
                <w:color w:val="000000"/>
                <w:sz w:val="24"/>
                <w:szCs w:val="24"/>
                <w:lang w:eastAsia="hr-HR"/>
              </w:rPr>
            </w:pPr>
            <w:r w:rsidRPr="00CC1981">
              <w:rPr>
                <w:rFonts w:ascii="Times New Roman" w:eastAsia="Times New Roman" w:hAnsi="Times New Roman" w:cs="Times New Roman"/>
                <w:color w:val="000000"/>
                <w:sz w:val="24"/>
                <w:szCs w:val="24"/>
                <w:lang w:eastAsia="hr-HR"/>
              </w:rPr>
              <w:t>56</w:t>
            </w:r>
          </w:p>
        </w:tc>
        <w:tc>
          <w:tcPr>
            <w:tcW w:w="740" w:type="dxa"/>
            <w:tcBorders>
              <w:top w:val="nil"/>
              <w:left w:val="nil"/>
              <w:bottom w:val="single" w:sz="8" w:space="0" w:color="auto"/>
              <w:right w:val="single" w:sz="8" w:space="0" w:color="auto"/>
            </w:tcBorders>
            <w:shd w:val="clear" w:color="auto" w:fill="auto"/>
            <w:vAlign w:val="center"/>
            <w:hideMark/>
          </w:tcPr>
          <w:p w14:paraId="762CB0B1" w14:textId="77777777" w:rsidR="00CC1981" w:rsidRPr="00CC1981" w:rsidRDefault="00CC1981" w:rsidP="00CC1981">
            <w:pPr>
              <w:spacing w:after="0" w:line="240" w:lineRule="auto"/>
              <w:jc w:val="center"/>
              <w:rPr>
                <w:rFonts w:ascii="Times New Roman" w:eastAsia="Times New Roman" w:hAnsi="Times New Roman" w:cs="Times New Roman"/>
                <w:color w:val="000000"/>
                <w:sz w:val="24"/>
                <w:szCs w:val="24"/>
                <w:lang w:eastAsia="hr-HR"/>
              </w:rPr>
            </w:pPr>
            <w:r w:rsidRPr="00CC1981">
              <w:rPr>
                <w:rFonts w:ascii="Times New Roman" w:eastAsia="Times New Roman" w:hAnsi="Times New Roman" w:cs="Times New Roman"/>
                <w:color w:val="000000"/>
                <w:sz w:val="24"/>
                <w:szCs w:val="24"/>
                <w:lang w:eastAsia="hr-HR"/>
              </w:rPr>
              <w:t>3</w:t>
            </w:r>
          </w:p>
        </w:tc>
        <w:tc>
          <w:tcPr>
            <w:tcW w:w="960" w:type="dxa"/>
            <w:tcBorders>
              <w:top w:val="nil"/>
              <w:left w:val="nil"/>
              <w:bottom w:val="single" w:sz="8" w:space="0" w:color="auto"/>
              <w:right w:val="single" w:sz="8" w:space="0" w:color="auto"/>
            </w:tcBorders>
            <w:shd w:val="clear" w:color="auto" w:fill="auto"/>
            <w:noWrap/>
            <w:vAlign w:val="center"/>
            <w:hideMark/>
          </w:tcPr>
          <w:p w14:paraId="2B8365A5" w14:textId="77777777" w:rsidR="00CC1981" w:rsidRPr="00CC1981" w:rsidRDefault="00CC1981" w:rsidP="00CC1981">
            <w:pPr>
              <w:spacing w:after="0" w:line="240" w:lineRule="auto"/>
              <w:jc w:val="right"/>
              <w:rPr>
                <w:rFonts w:ascii="Times New Roman" w:eastAsia="Times New Roman" w:hAnsi="Times New Roman" w:cs="Times New Roman"/>
                <w:color w:val="000000"/>
                <w:sz w:val="24"/>
                <w:szCs w:val="24"/>
                <w:lang w:eastAsia="hr-HR"/>
              </w:rPr>
            </w:pPr>
            <w:r w:rsidRPr="00CC1981">
              <w:rPr>
                <w:rFonts w:ascii="Times New Roman" w:eastAsia="Times New Roman" w:hAnsi="Times New Roman" w:cs="Times New Roman"/>
                <w:color w:val="000000"/>
                <w:sz w:val="24"/>
                <w:szCs w:val="24"/>
                <w:lang w:eastAsia="hr-HR"/>
              </w:rPr>
              <w:t>12,09%</w:t>
            </w:r>
          </w:p>
        </w:tc>
        <w:tc>
          <w:tcPr>
            <w:tcW w:w="740" w:type="dxa"/>
            <w:tcBorders>
              <w:top w:val="nil"/>
              <w:left w:val="nil"/>
              <w:bottom w:val="single" w:sz="8" w:space="0" w:color="auto"/>
              <w:right w:val="single" w:sz="8" w:space="0" w:color="auto"/>
            </w:tcBorders>
            <w:shd w:val="clear" w:color="auto" w:fill="auto"/>
            <w:vAlign w:val="center"/>
            <w:hideMark/>
          </w:tcPr>
          <w:p w14:paraId="6ADF41C8" w14:textId="77777777" w:rsidR="00CC1981" w:rsidRPr="00CC1981" w:rsidRDefault="00CC1981" w:rsidP="00CC1981">
            <w:pPr>
              <w:spacing w:after="0" w:line="240" w:lineRule="auto"/>
              <w:jc w:val="center"/>
              <w:rPr>
                <w:rFonts w:ascii="Times New Roman" w:eastAsia="Times New Roman" w:hAnsi="Times New Roman" w:cs="Times New Roman"/>
                <w:color w:val="000000"/>
                <w:sz w:val="24"/>
                <w:szCs w:val="24"/>
                <w:lang w:eastAsia="hr-HR"/>
              </w:rPr>
            </w:pPr>
            <w:r w:rsidRPr="00CC1981">
              <w:rPr>
                <w:rFonts w:ascii="Times New Roman" w:eastAsia="Times New Roman" w:hAnsi="Times New Roman" w:cs="Times New Roman"/>
                <w:color w:val="000000"/>
                <w:sz w:val="24"/>
                <w:szCs w:val="24"/>
                <w:lang w:eastAsia="hr-HR"/>
              </w:rPr>
              <w:t>84</w:t>
            </w:r>
          </w:p>
        </w:tc>
        <w:tc>
          <w:tcPr>
            <w:tcW w:w="740" w:type="dxa"/>
            <w:tcBorders>
              <w:top w:val="nil"/>
              <w:left w:val="nil"/>
              <w:bottom w:val="single" w:sz="8" w:space="0" w:color="auto"/>
              <w:right w:val="single" w:sz="8" w:space="0" w:color="auto"/>
            </w:tcBorders>
            <w:shd w:val="clear" w:color="auto" w:fill="auto"/>
            <w:vAlign w:val="center"/>
            <w:hideMark/>
          </w:tcPr>
          <w:p w14:paraId="11EB8381" w14:textId="77777777" w:rsidR="00CC1981" w:rsidRPr="00CC1981" w:rsidRDefault="00CC1981" w:rsidP="00CC1981">
            <w:pPr>
              <w:spacing w:after="0" w:line="240" w:lineRule="auto"/>
              <w:jc w:val="center"/>
              <w:rPr>
                <w:rFonts w:ascii="Times New Roman" w:eastAsia="Times New Roman" w:hAnsi="Times New Roman" w:cs="Times New Roman"/>
                <w:color w:val="000000"/>
                <w:sz w:val="24"/>
                <w:szCs w:val="24"/>
                <w:lang w:eastAsia="hr-HR"/>
              </w:rPr>
            </w:pPr>
            <w:r w:rsidRPr="00CC1981">
              <w:rPr>
                <w:rFonts w:ascii="Times New Roman" w:eastAsia="Times New Roman" w:hAnsi="Times New Roman" w:cs="Times New Roman"/>
                <w:color w:val="000000"/>
                <w:sz w:val="24"/>
                <w:szCs w:val="24"/>
                <w:lang w:eastAsia="hr-HR"/>
              </w:rPr>
              <w:t>1</w:t>
            </w:r>
          </w:p>
        </w:tc>
        <w:tc>
          <w:tcPr>
            <w:tcW w:w="960" w:type="dxa"/>
            <w:tcBorders>
              <w:top w:val="nil"/>
              <w:left w:val="nil"/>
              <w:bottom w:val="single" w:sz="8" w:space="0" w:color="auto"/>
              <w:right w:val="single" w:sz="8" w:space="0" w:color="auto"/>
            </w:tcBorders>
            <w:shd w:val="clear" w:color="auto" w:fill="auto"/>
            <w:noWrap/>
            <w:vAlign w:val="center"/>
            <w:hideMark/>
          </w:tcPr>
          <w:p w14:paraId="1320AA6E" w14:textId="77777777" w:rsidR="00CC1981" w:rsidRPr="00CC1981" w:rsidRDefault="00CC1981" w:rsidP="00CC1981">
            <w:pPr>
              <w:spacing w:after="0" w:line="240" w:lineRule="auto"/>
              <w:jc w:val="right"/>
              <w:rPr>
                <w:rFonts w:ascii="Times New Roman" w:eastAsia="Times New Roman" w:hAnsi="Times New Roman" w:cs="Times New Roman"/>
                <w:color w:val="000000"/>
                <w:sz w:val="24"/>
                <w:szCs w:val="24"/>
                <w:lang w:eastAsia="hr-HR"/>
              </w:rPr>
            </w:pPr>
            <w:r w:rsidRPr="00CC1981">
              <w:rPr>
                <w:rFonts w:ascii="Times New Roman" w:eastAsia="Times New Roman" w:hAnsi="Times New Roman" w:cs="Times New Roman"/>
                <w:color w:val="000000"/>
                <w:sz w:val="24"/>
                <w:szCs w:val="24"/>
                <w:lang w:eastAsia="hr-HR"/>
              </w:rPr>
              <w:t>18,05%</w:t>
            </w:r>
          </w:p>
        </w:tc>
      </w:tr>
      <w:tr w:rsidR="00CC1981" w:rsidRPr="00CC1981" w14:paraId="4F877F0B" w14:textId="77777777" w:rsidTr="00CC1981">
        <w:trPr>
          <w:trHeight w:val="324"/>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45B31B00" w14:textId="77777777" w:rsidR="00CC1981" w:rsidRPr="00CC1981" w:rsidRDefault="00CC1981" w:rsidP="00CC1981">
            <w:pPr>
              <w:spacing w:after="0" w:line="240" w:lineRule="auto"/>
              <w:rPr>
                <w:rFonts w:ascii="Times New Roman" w:eastAsia="Times New Roman" w:hAnsi="Times New Roman" w:cs="Times New Roman"/>
                <w:color w:val="000000"/>
                <w:sz w:val="24"/>
                <w:szCs w:val="24"/>
                <w:lang w:eastAsia="hr-HR"/>
              </w:rPr>
            </w:pPr>
            <w:r w:rsidRPr="00CC1981">
              <w:rPr>
                <w:rFonts w:ascii="Times New Roman" w:eastAsia="Times New Roman" w:hAnsi="Times New Roman" w:cs="Times New Roman"/>
                <w:color w:val="000000"/>
                <w:sz w:val="24"/>
                <w:szCs w:val="24"/>
                <w:lang w:eastAsia="hr-HR"/>
              </w:rPr>
              <w:t>INOZEMNE FOJ</w:t>
            </w:r>
          </w:p>
        </w:tc>
        <w:tc>
          <w:tcPr>
            <w:tcW w:w="740" w:type="dxa"/>
            <w:tcBorders>
              <w:top w:val="nil"/>
              <w:left w:val="nil"/>
              <w:bottom w:val="single" w:sz="8" w:space="0" w:color="auto"/>
              <w:right w:val="single" w:sz="8" w:space="0" w:color="auto"/>
            </w:tcBorders>
            <w:shd w:val="clear" w:color="auto" w:fill="auto"/>
            <w:vAlign w:val="center"/>
            <w:hideMark/>
          </w:tcPr>
          <w:p w14:paraId="031FAE50" w14:textId="77777777" w:rsidR="00CC1981" w:rsidRPr="00CC1981" w:rsidRDefault="00CC1981" w:rsidP="00CC1981">
            <w:pPr>
              <w:spacing w:after="0" w:line="240" w:lineRule="auto"/>
              <w:jc w:val="center"/>
              <w:rPr>
                <w:rFonts w:ascii="Times New Roman" w:eastAsia="Times New Roman" w:hAnsi="Times New Roman" w:cs="Times New Roman"/>
                <w:color w:val="000000"/>
                <w:sz w:val="24"/>
                <w:szCs w:val="24"/>
                <w:lang w:eastAsia="hr-HR"/>
              </w:rPr>
            </w:pPr>
            <w:r w:rsidRPr="00CC1981">
              <w:rPr>
                <w:rFonts w:ascii="Times New Roman" w:eastAsia="Times New Roman" w:hAnsi="Times New Roman" w:cs="Times New Roman"/>
                <w:color w:val="000000"/>
                <w:sz w:val="24"/>
                <w:szCs w:val="24"/>
                <w:lang w:eastAsia="hr-HR"/>
              </w:rPr>
              <w:t>141</w:t>
            </w:r>
          </w:p>
        </w:tc>
        <w:tc>
          <w:tcPr>
            <w:tcW w:w="740" w:type="dxa"/>
            <w:tcBorders>
              <w:top w:val="nil"/>
              <w:left w:val="nil"/>
              <w:bottom w:val="single" w:sz="8" w:space="0" w:color="auto"/>
              <w:right w:val="single" w:sz="8" w:space="0" w:color="auto"/>
            </w:tcBorders>
            <w:shd w:val="clear" w:color="auto" w:fill="auto"/>
            <w:vAlign w:val="center"/>
            <w:hideMark/>
          </w:tcPr>
          <w:p w14:paraId="716EE855" w14:textId="77777777" w:rsidR="00CC1981" w:rsidRPr="00CC1981" w:rsidRDefault="00CC1981" w:rsidP="00CC1981">
            <w:pPr>
              <w:spacing w:after="0" w:line="240" w:lineRule="auto"/>
              <w:jc w:val="center"/>
              <w:rPr>
                <w:rFonts w:ascii="Times New Roman" w:eastAsia="Times New Roman" w:hAnsi="Times New Roman" w:cs="Times New Roman"/>
                <w:color w:val="000000"/>
                <w:sz w:val="24"/>
                <w:szCs w:val="24"/>
                <w:lang w:eastAsia="hr-HR"/>
              </w:rPr>
            </w:pPr>
            <w:r w:rsidRPr="00CC1981">
              <w:rPr>
                <w:rFonts w:ascii="Times New Roman" w:eastAsia="Times New Roman" w:hAnsi="Times New Roman" w:cs="Times New Roman"/>
                <w:color w:val="000000"/>
                <w:sz w:val="24"/>
                <w:szCs w:val="24"/>
                <w:lang w:eastAsia="hr-HR"/>
              </w:rPr>
              <w:t>1</w:t>
            </w:r>
          </w:p>
        </w:tc>
        <w:tc>
          <w:tcPr>
            <w:tcW w:w="960" w:type="dxa"/>
            <w:tcBorders>
              <w:top w:val="nil"/>
              <w:left w:val="nil"/>
              <w:bottom w:val="single" w:sz="8" w:space="0" w:color="auto"/>
              <w:right w:val="single" w:sz="8" w:space="0" w:color="auto"/>
            </w:tcBorders>
            <w:shd w:val="clear" w:color="auto" w:fill="auto"/>
            <w:noWrap/>
            <w:vAlign w:val="center"/>
            <w:hideMark/>
          </w:tcPr>
          <w:p w14:paraId="46D40AB4" w14:textId="77777777" w:rsidR="00CC1981" w:rsidRPr="00CC1981" w:rsidRDefault="00CC1981" w:rsidP="00CC1981">
            <w:pPr>
              <w:spacing w:after="0" w:line="240" w:lineRule="auto"/>
              <w:jc w:val="right"/>
              <w:rPr>
                <w:rFonts w:ascii="Times New Roman" w:eastAsia="Times New Roman" w:hAnsi="Times New Roman" w:cs="Times New Roman"/>
                <w:color w:val="000000"/>
                <w:sz w:val="24"/>
                <w:szCs w:val="24"/>
                <w:lang w:eastAsia="hr-HR"/>
              </w:rPr>
            </w:pPr>
            <w:r w:rsidRPr="00CC1981">
              <w:rPr>
                <w:rFonts w:ascii="Times New Roman" w:eastAsia="Times New Roman" w:hAnsi="Times New Roman" w:cs="Times New Roman"/>
                <w:color w:val="000000"/>
                <w:sz w:val="24"/>
                <w:szCs w:val="24"/>
                <w:lang w:eastAsia="hr-HR"/>
              </w:rPr>
              <w:t>29,10%</w:t>
            </w:r>
          </w:p>
        </w:tc>
        <w:tc>
          <w:tcPr>
            <w:tcW w:w="740" w:type="dxa"/>
            <w:tcBorders>
              <w:top w:val="nil"/>
              <w:left w:val="nil"/>
              <w:bottom w:val="single" w:sz="8" w:space="0" w:color="auto"/>
              <w:right w:val="single" w:sz="8" w:space="0" w:color="auto"/>
            </w:tcBorders>
            <w:shd w:val="clear" w:color="auto" w:fill="auto"/>
            <w:vAlign w:val="center"/>
            <w:hideMark/>
          </w:tcPr>
          <w:p w14:paraId="4FAB75AE" w14:textId="77777777" w:rsidR="00CC1981" w:rsidRPr="00CC1981" w:rsidRDefault="00CC1981" w:rsidP="00CC1981">
            <w:pPr>
              <w:spacing w:after="0" w:line="240" w:lineRule="auto"/>
              <w:jc w:val="center"/>
              <w:rPr>
                <w:rFonts w:ascii="Times New Roman" w:eastAsia="Times New Roman" w:hAnsi="Times New Roman" w:cs="Times New Roman"/>
                <w:color w:val="000000"/>
                <w:sz w:val="24"/>
                <w:szCs w:val="24"/>
                <w:lang w:eastAsia="hr-HR"/>
              </w:rPr>
            </w:pPr>
            <w:r w:rsidRPr="00CC1981">
              <w:rPr>
                <w:rFonts w:ascii="Times New Roman" w:eastAsia="Times New Roman" w:hAnsi="Times New Roman" w:cs="Times New Roman"/>
                <w:color w:val="000000"/>
                <w:sz w:val="24"/>
                <w:szCs w:val="24"/>
                <w:lang w:eastAsia="hr-HR"/>
              </w:rPr>
              <w:t>115</w:t>
            </w:r>
          </w:p>
        </w:tc>
        <w:tc>
          <w:tcPr>
            <w:tcW w:w="740" w:type="dxa"/>
            <w:tcBorders>
              <w:top w:val="nil"/>
              <w:left w:val="nil"/>
              <w:bottom w:val="single" w:sz="8" w:space="0" w:color="auto"/>
              <w:right w:val="single" w:sz="8" w:space="0" w:color="auto"/>
            </w:tcBorders>
            <w:shd w:val="clear" w:color="auto" w:fill="auto"/>
            <w:vAlign w:val="center"/>
            <w:hideMark/>
          </w:tcPr>
          <w:p w14:paraId="7FCE6953" w14:textId="77777777" w:rsidR="00CC1981" w:rsidRPr="00CC1981" w:rsidRDefault="00CC1981" w:rsidP="00CC1981">
            <w:pPr>
              <w:spacing w:after="0" w:line="240" w:lineRule="auto"/>
              <w:jc w:val="center"/>
              <w:rPr>
                <w:rFonts w:ascii="Times New Roman" w:eastAsia="Times New Roman" w:hAnsi="Times New Roman" w:cs="Times New Roman"/>
                <w:color w:val="000000"/>
                <w:sz w:val="24"/>
                <w:szCs w:val="24"/>
                <w:lang w:eastAsia="hr-HR"/>
              </w:rPr>
            </w:pPr>
            <w:r w:rsidRPr="00CC1981">
              <w:rPr>
                <w:rFonts w:ascii="Times New Roman" w:eastAsia="Times New Roman" w:hAnsi="Times New Roman" w:cs="Times New Roman"/>
                <w:color w:val="000000"/>
                <w:sz w:val="24"/>
                <w:szCs w:val="24"/>
                <w:lang w:eastAsia="hr-HR"/>
              </w:rPr>
              <w:t>1</w:t>
            </w:r>
          </w:p>
        </w:tc>
        <w:tc>
          <w:tcPr>
            <w:tcW w:w="960" w:type="dxa"/>
            <w:tcBorders>
              <w:top w:val="nil"/>
              <w:left w:val="nil"/>
              <w:bottom w:val="single" w:sz="8" w:space="0" w:color="auto"/>
              <w:right w:val="single" w:sz="8" w:space="0" w:color="auto"/>
            </w:tcBorders>
            <w:shd w:val="clear" w:color="auto" w:fill="auto"/>
            <w:noWrap/>
            <w:vAlign w:val="center"/>
            <w:hideMark/>
          </w:tcPr>
          <w:p w14:paraId="2CABA28B" w14:textId="77777777" w:rsidR="00CC1981" w:rsidRPr="00CC1981" w:rsidRDefault="00CC1981" w:rsidP="00CC1981">
            <w:pPr>
              <w:spacing w:after="0" w:line="240" w:lineRule="auto"/>
              <w:jc w:val="right"/>
              <w:rPr>
                <w:rFonts w:ascii="Times New Roman" w:eastAsia="Times New Roman" w:hAnsi="Times New Roman" w:cs="Times New Roman"/>
                <w:color w:val="000000"/>
                <w:sz w:val="24"/>
                <w:szCs w:val="24"/>
                <w:lang w:eastAsia="hr-HR"/>
              </w:rPr>
            </w:pPr>
            <w:r w:rsidRPr="00CC1981">
              <w:rPr>
                <w:rFonts w:ascii="Times New Roman" w:eastAsia="Times New Roman" w:hAnsi="Times New Roman" w:cs="Times New Roman"/>
                <w:color w:val="000000"/>
                <w:sz w:val="24"/>
                <w:szCs w:val="24"/>
                <w:lang w:eastAsia="hr-HR"/>
              </w:rPr>
              <w:t>24,63%</w:t>
            </w:r>
          </w:p>
        </w:tc>
      </w:tr>
      <w:tr w:rsidR="00CC1981" w:rsidRPr="00CC1981" w14:paraId="5039A373" w14:textId="77777777" w:rsidTr="00CC1981">
        <w:trPr>
          <w:trHeight w:val="324"/>
        </w:trPr>
        <w:tc>
          <w:tcPr>
            <w:tcW w:w="3460" w:type="dxa"/>
            <w:tcBorders>
              <w:top w:val="nil"/>
              <w:left w:val="single" w:sz="8" w:space="0" w:color="auto"/>
              <w:bottom w:val="single" w:sz="8" w:space="0" w:color="auto"/>
              <w:right w:val="single" w:sz="8" w:space="0" w:color="auto"/>
            </w:tcBorders>
            <w:shd w:val="clear" w:color="000000" w:fill="F2F2F2"/>
            <w:vAlign w:val="center"/>
            <w:hideMark/>
          </w:tcPr>
          <w:p w14:paraId="1C21ACF4" w14:textId="77777777" w:rsidR="00CC1981" w:rsidRPr="00CC1981" w:rsidRDefault="00CC1981" w:rsidP="00CC1981">
            <w:pPr>
              <w:spacing w:after="0" w:line="240" w:lineRule="auto"/>
              <w:rPr>
                <w:rFonts w:ascii="Times New Roman" w:eastAsia="Times New Roman" w:hAnsi="Times New Roman" w:cs="Times New Roman"/>
                <w:b/>
                <w:bCs/>
                <w:color w:val="000000"/>
                <w:sz w:val="24"/>
                <w:szCs w:val="24"/>
                <w:lang w:eastAsia="hr-HR"/>
              </w:rPr>
            </w:pPr>
            <w:r w:rsidRPr="00CC1981">
              <w:rPr>
                <w:rFonts w:ascii="Times New Roman" w:eastAsia="Times New Roman" w:hAnsi="Times New Roman" w:cs="Times New Roman"/>
                <w:b/>
                <w:bCs/>
                <w:color w:val="000000"/>
                <w:sz w:val="24"/>
                <w:szCs w:val="24"/>
                <w:lang w:eastAsia="hr-HR"/>
              </w:rPr>
              <w:t>UKUPNO</w:t>
            </w:r>
          </w:p>
        </w:tc>
        <w:tc>
          <w:tcPr>
            <w:tcW w:w="740" w:type="dxa"/>
            <w:tcBorders>
              <w:top w:val="nil"/>
              <w:left w:val="nil"/>
              <w:bottom w:val="single" w:sz="8" w:space="0" w:color="auto"/>
              <w:right w:val="single" w:sz="8" w:space="0" w:color="auto"/>
            </w:tcBorders>
            <w:shd w:val="clear" w:color="000000" w:fill="F2F2F2"/>
            <w:vAlign w:val="center"/>
            <w:hideMark/>
          </w:tcPr>
          <w:p w14:paraId="52F4CBF4" w14:textId="77777777" w:rsidR="00CC1981" w:rsidRPr="00CC1981" w:rsidRDefault="00CC1981" w:rsidP="00CC1981">
            <w:pPr>
              <w:spacing w:after="0" w:line="240" w:lineRule="auto"/>
              <w:jc w:val="center"/>
              <w:rPr>
                <w:rFonts w:ascii="Times New Roman" w:eastAsia="Times New Roman" w:hAnsi="Times New Roman" w:cs="Times New Roman"/>
                <w:b/>
                <w:bCs/>
                <w:color w:val="000000"/>
                <w:sz w:val="24"/>
                <w:szCs w:val="24"/>
                <w:lang w:eastAsia="hr-HR"/>
              </w:rPr>
            </w:pPr>
            <w:r w:rsidRPr="00CC1981">
              <w:rPr>
                <w:rFonts w:ascii="Times New Roman" w:eastAsia="Times New Roman" w:hAnsi="Times New Roman" w:cs="Times New Roman"/>
                <w:b/>
                <w:bCs/>
                <w:color w:val="000000"/>
                <w:sz w:val="24"/>
                <w:szCs w:val="24"/>
                <w:lang w:eastAsia="hr-HR"/>
              </w:rPr>
              <w:t>480</w:t>
            </w:r>
          </w:p>
        </w:tc>
        <w:tc>
          <w:tcPr>
            <w:tcW w:w="740" w:type="dxa"/>
            <w:tcBorders>
              <w:top w:val="nil"/>
              <w:left w:val="nil"/>
              <w:bottom w:val="single" w:sz="8" w:space="0" w:color="auto"/>
              <w:right w:val="single" w:sz="8" w:space="0" w:color="auto"/>
            </w:tcBorders>
            <w:shd w:val="clear" w:color="000000" w:fill="F2F2F2"/>
            <w:vAlign w:val="center"/>
            <w:hideMark/>
          </w:tcPr>
          <w:p w14:paraId="14413C24" w14:textId="77777777" w:rsidR="00CC1981" w:rsidRPr="00CC1981" w:rsidRDefault="00CC1981" w:rsidP="00CC1981">
            <w:pPr>
              <w:spacing w:after="0" w:line="240" w:lineRule="auto"/>
              <w:jc w:val="center"/>
              <w:rPr>
                <w:rFonts w:ascii="Times New Roman" w:eastAsia="Times New Roman" w:hAnsi="Times New Roman" w:cs="Times New Roman"/>
                <w:b/>
                <w:bCs/>
                <w:color w:val="000000"/>
                <w:sz w:val="24"/>
                <w:szCs w:val="24"/>
                <w:lang w:eastAsia="hr-HR"/>
              </w:rPr>
            </w:pPr>
            <w:r w:rsidRPr="00CC1981">
              <w:rPr>
                <w:rFonts w:ascii="Times New Roman" w:eastAsia="Times New Roman" w:hAnsi="Times New Roman" w:cs="Times New Roman"/>
                <w:b/>
                <w:bCs/>
                <w:color w:val="000000"/>
                <w:sz w:val="24"/>
                <w:szCs w:val="24"/>
                <w:lang w:eastAsia="hr-HR"/>
              </w:rPr>
              <w:t>8</w:t>
            </w:r>
          </w:p>
        </w:tc>
        <w:tc>
          <w:tcPr>
            <w:tcW w:w="960" w:type="dxa"/>
            <w:tcBorders>
              <w:top w:val="nil"/>
              <w:left w:val="nil"/>
              <w:bottom w:val="single" w:sz="8" w:space="0" w:color="auto"/>
              <w:right w:val="single" w:sz="8" w:space="0" w:color="auto"/>
            </w:tcBorders>
            <w:shd w:val="clear" w:color="000000" w:fill="F2F2F2"/>
            <w:noWrap/>
            <w:vAlign w:val="center"/>
            <w:hideMark/>
          </w:tcPr>
          <w:p w14:paraId="25ACE528" w14:textId="77777777" w:rsidR="00CC1981" w:rsidRPr="00CC1981" w:rsidRDefault="00CC1981" w:rsidP="00CC1981">
            <w:pPr>
              <w:spacing w:after="0" w:line="240" w:lineRule="auto"/>
              <w:jc w:val="right"/>
              <w:rPr>
                <w:rFonts w:ascii="Times New Roman" w:eastAsia="Times New Roman" w:hAnsi="Times New Roman" w:cs="Times New Roman"/>
                <w:color w:val="000000"/>
                <w:sz w:val="24"/>
                <w:szCs w:val="24"/>
                <w:lang w:eastAsia="hr-HR"/>
              </w:rPr>
            </w:pPr>
            <w:r w:rsidRPr="00CC1981">
              <w:rPr>
                <w:rFonts w:ascii="Times New Roman" w:eastAsia="Times New Roman" w:hAnsi="Times New Roman" w:cs="Times New Roman"/>
                <w:color w:val="000000"/>
                <w:sz w:val="24"/>
                <w:szCs w:val="24"/>
                <w:lang w:eastAsia="hr-HR"/>
              </w:rPr>
              <w:t>100,00%</w:t>
            </w:r>
          </w:p>
        </w:tc>
        <w:tc>
          <w:tcPr>
            <w:tcW w:w="740" w:type="dxa"/>
            <w:tcBorders>
              <w:top w:val="nil"/>
              <w:left w:val="nil"/>
              <w:bottom w:val="single" w:sz="8" w:space="0" w:color="auto"/>
              <w:right w:val="single" w:sz="8" w:space="0" w:color="auto"/>
            </w:tcBorders>
            <w:shd w:val="clear" w:color="000000" w:fill="F2F2F2"/>
            <w:vAlign w:val="center"/>
            <w:hideMark/>
          </w:tcPr>
          <w:p w14:paraId="74DFEC38" w14:textId="77777777" w:rsidR="00CC1981" w:rsidRPr="00CC1981" w:rsidRDefault="00CC1981" w:rsidP="00CC1981">
            <w:pPr>
              <w:spacing w:after="0" w:line="240" w:lineRule="auto"/>
              <w:jc w:val="center"/>
              <w:rPr>
                <w:rFonts w:ascii="Times New Roman" w:eastAsia="Times New Roman" w:hAnsi="Times New Roman" w:cs="Times New Roman"/>
                <w:b/>
                <w:bCs/>
                <w:color w:val="000000"/>
                <w:sz w:val="24"/>
                <w:szCs w:val="24"/>
                <w:lang w:eastAsia="hr-HR"/>
              </w:rPr>
            </w:pPr>
            <w:r w:rsidRPr="00CC1981">
              <w:rPr>
                <w:rFonts w:ascii="Times New Roman" w:eastAsia="Times New Roman" w:hAnsi="Times New Roman" w:cs="Times New Roman"/>
                <w:b/>
                <w:bCs/>
                <w:color w:val="000000"/>
                <w:sz w:val="24"/>
                <w:szCs w:val="24"/>
                <w:lang w:eastAsia="hr-HR"/>
              </w:rPr>
              <w:t>465</w:t>
            </w:r>
          </w:p>
        </w:tc>
        <w:tc>
          <w:tcPr>
            <w:tcW w:w="740" w:type="dxa"/>
            <w:tcBorders>
              <w:top w:val="nil"/>
              <w:left w:val="nil"/>
              <w:bottom w:val="single" w:sz="8" w:space="0" w:color="auto"/>
              <w:right w:val="single" w:sz="8" w:space="0" w:color="auto"/>
            </w:tcBorders>
            <w:shd w:val="clear" w:color="000000" w:fill="F2F2F2"/>
            <w:vAlign w:val="center"/>
            <w:hideMark/>
          </w:tcPr>
          <w:p w14:paraId="4D76257E" w14:textId="77777777" w:rsidR="00CC1981" w:rsidRPr="00CC1981" w:rsidRDefault="00CC1981" w:rsidP="00CC1981">
            <w:pPr>
              <w:spacing w:after="0" w:line="240" w:lineRule="auto"/>
              <w:jc w:val="center"/>
              <w:rPr>
                <w:rFonts w:ascii="Times New Roman" w:eastAsia="Times New Roman" w:hAnsi="Times New Roman" w:cs="Times New Roman"/>
                <w:b/>
                <w:bCs/>
                <w:color w:val="000000"/>
                <w:sz w:val="24"/>
                <w:szCs w:val="24"/>
                <w:lang w:eastAsia="hr-HR"/>
              </w:rPr>
            </w:pPr>
            <w:r w:rsidRPr="00CC1981">
              <w:rPr>
                <w:rFonts w:ascii="Times New Roman" w:eastAsia="Times New Roman" w:hAnsi="Times New Roman" w:cs="Times New Roman"/>
                <w:b/>
                <w:bCs/>
                <w:color w:val="000000"/>
                <w:sz w:val="24"/>
                <w:szCs w:val="24"/>
                <w:lang w:eastAsia="hr-HR"/>
              </w:rPr>
              <w:t>6</w:t>
            </w:r>
          </w:p>
        </w:tc>
        <w:tc>
          <w:tcPr>
            <w:tcW w:w="960" w:type="dxa"/>
            <w:tcBorders>
              <w:top w:val="nil"/>
              <w:left w:val="nil"/>
              <w:bottom w:val="single" w:sz="8" w:space="0" w:color="auto"/>
              <w:right w:val="single" w:sz="8" w:space="0" w:color="auto"/>
            </w:tcBorders>
            <w:shd w:val="clear" w:color="000000" w:fill="F2F2F2"/>
            <w:noWrap/>
            <w:vAlign w:val="center"/>
            <w:hideMark/>
          </w:tcPr>
          <w:p w14:paraId="48892412" w14:textId="77777777" w:rsidR="00CC1981" w:rsidRPr="00CC1981" w:rsidRDefault="00CC1981" w:rsidP="00CC1981">
            <w:pPr>
              <w:spacing w:after="0" w:line="240" w:lineRule="auto"/>
              <w:jc w:val="right"/>
              <w:rPr>
                <w:rFonts w:ascii="Times New Roman" w:eastAsia="Times New Roman" w:hAnsi="Times New Roman" w:cs="Times New Roman"/>
                <w:color w:val="000000"/>
                <w:sz w:val="24"/>
                <w:szCs w:val="24"/>
                <w:lang w:eastAsia="hr-HR"/>
              </w:rPr>
            </w:pPr>
            <w:r w:rsidRPr="00CC1981">
              <w:rPr>
                <w:rFonts w:ascii="Times New Roman" w:eastAsia="Times New Roman" w:hAnsi="Times New Roman" w:cs="Times New Roman"/>
                <w:color w:val="000000"/>
                <w:sz w:val="24"/>
                <w:szCs w:val="24"/>
                <w:lang w:eastAsia="hr-HR"/>
              </w:rPr>
              <w:t>100,00%</w:t>
            </w:r>
          </w:p>
        </w:tc>
      </w:tr>
      <w:tr w:rsidR="00CC1981" w:rsidRPr="00CC1981" w14:paraId="3349C305" w14:textId="77777777" w:rsidTr="00CC1981">
        <w:trPr>
          <w:trHeight w:val="324"/>
        </w:trPr>
        <w:tc>
          <w:tcPr>
            <w:tcW w:w="3460" w:type="dxa"/>
            <w:tcBorders>
              <w:top w:val="nil"/>
              <w:left w:val="single" w:sz="8" w:space="0" w:color="auto"/>
              <w:bottom w:val="single" w:sz="8" w:space="0" w:color="auto"/>
              <w:right w:val="single" w:sz="8" w:space="0" w:color="auto"/>
            </w:tcBorders>
            <w:shd w:val="clear" w:color="000000" w:fill="F2F2F2"/>
            <w:vAlign w:val="center"/>
            <w:hideMark/>
          </w:tcPr>
          <w:p w14:paraId="4E40559B" w14:textId="77777777" w:rsidR="00CC1981" w:rsidRPr="00CC1981" w:rsidRDefault="00CC1981" w:rsidP="00CC1981">
            <w:pPr>
              <w:spacing w:after="0" w:line="240" w:lineRule="auto"/>
              <w:rPr>
                <w:rFonts w:ascii="Times New Roman" w:eastAsia="Times New Roman" w:hAnsi="Times New Roman" w:cs="Times New Roman"/>
                <w:b/>
                <w:bCs/>
                <w:color w:val="000000"/>
                <w:sz w:val="24"/>
                <w:szCs w:val="24"/>
                <w:lang w:eastAsia="hr-HR"/>
              </w:rPr>
            </w:pPr>
            <w:r w:rsidRPr="00CC1981">
              <w:rPr>
                <w:rFonts w:ascii="Times New Roman" w:eastAsia="Times New Roman" w:hAnsi="Times New Roman" w:cs="Times New Roman"/>
                <w:b/>
                <w:bCs/>
                <w:color w:val="000000"/>
                <w:sz w:val="24"/>
                <w:szCs w:val="24"/>
                <w:lang w:eastAsia="hr-HR"/>
              </w:rPr>
              <w:t>SVEUKUPNO</w:t>
            </w:r>
          </w:p>
        </w:tc>
        <w:tc>
          <w:tcPr>
            <w:tcW w:w="2440" w:type="dxa"/>
            <w:gridSpan w:val="3"/>
            <w:tcBorders>
              <w:top w:val="single" w:sz="8" w:space="0" w:color="auto"/>
              <w:left w:val="nil"/>
              <w:bottom w:val="single" w:sz="8" w:space="0" w:color="auto"/>
              <w:right w:val="single" w:sz="8" w:space="0" w:color="000000"/>
            </w:tcBorders>
            <w:shd w:val="clear" w:color="000000" w:fill="F2F2F2"/>
            <w:vAlign w:val="center"/>
            <w:hideMark/>
          </w:tcPr>
          <w:p w14:paraId="15210B8E" w14:textId="77777777" w:rsidR="00CC1981" w:rsidRPr="00CC1981" w:rsidRDefault="00CC1981" w:rsidP="00CC1981">
            <w:pPr>
              <w:spacing w:after="0" w:line="240" w:lineRule="auto"/>
              <w:jc w:val="center"/>
              <w:rPr>
                <w:rFonts w:ascii="Times New Roman" w:eastAsia="Times New Roman" w:hAnsi="Times New Roman" w:cs="Times New Roman"/>
                <w:b/>
                <w:bCs/>
                <w:color w:val="000000"/>
                <w:sz w:val="24"/>
                <w:szCs w:val="24"/>
                <w:lang w:eastAsia="hr-HR"/>
              </w:rPr>
            </w:pPr>
            <w:r w:rsidRPr="00CC1981">
              <w:rPr>
                <w:rFonts w:ascii="Times New Roman" w:eastAsia="Times New Roman" w:hAnsi="Times New Roman" w:cs="Times New Roman"/>
                <w:b/>
                <w:bCs/>
                <w:color w:val="000000"/>
                <w:sz w:val="24"/>
                <w:szCs w:val="24"/>
                <w:lang w:eastAsia="hr-HR"/>
              </w:rPr>
              <w:t>488</w:t>
            </w:r>
          </w:p>
        </w:tc>
        <w:tc>
          <w:tcPr>
            <w:tcW w:w="2440" w:type="dxa"/>
            <w:gridSpan w:val="3"/>
            <w:tcBorders>
              <w:top w:val="single" w:sz="8" w:space="0" w:color="auto"/>
              <w:left w:val="nil"/>
              <w:bottom w:val="single" w:sz="8" w:space="0" w:color="auto"/>
              <w:right w:val="single" w:sz="8" w:space="0" w:color="000000"/>
            </w:tcBorders>
            <w:shd w:val="clear" w:color="000000" w:fill="F2F2F2"/>
            <w:vAlign w:val="center"/>
            <w:hideMark/>
          </w:tcPr>
          <w:p w14:paraId="2FC4FDCF" w14:textId="77777777" w:rsidR="00CC1981" w:rsidRPr="00CC1981" w:rsidRDefault="00CC1981" w:rsidP="00CC1981">
            <w:pPr>
              <w:spacing w:after="0" w:line="240" w:lineRule="auto"/>
              <w:jc w:val="center"/>
              <w:rPr>
                <w:rFonts w:ascii="Times New Roman" w:eastAsia="Times New Roman" w:hAnsi="Times New Roman" w:cs="Times New Roman"/>
                <w:b/>
                <w:bCs/>
                <w:color w:val="000000"/>
                <w:sz w:val="24"/>
                <w:szCs w:val="24"/>
                <w:lang w:eastAsia="hr-HR"/>
              </w:rPr>
            </w:pPr>
            <w:r w:rsidRPr="00CC1981">
              <w:rPr>
                <w:rFonts w:ascii="Times New Roman" w:eastAsia="Times New Roman" w:hAnsi="Times New Roman" w:cs="Times New Roman"/>
                <w:b/>
                <w:bCs/>
                <w:color w:val="000000"/>
                <w:sz w:val="24"/>
                <w:szCs w:val="24"/>
                <w:lang w:eastAsia="hr-HR"/>
              </w:rPr>
              <w:t>471</w:t>
            </w:r>
          </w:p>
        </w:tc>
      </w:tr>
    </w:tbl>
    <w:p w14:paraId="4B96DC74" w14:textId="05F4E639" w:rsidR="00375117" w:rsidRPr="00BD2F10" w:rsidRDefault="00CC1981" w:rsidP="002C211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fldChar w:fldCharType="end"/>
      </w:r>
    </w:p>
    <w:p w14:paraId="238D7479" w14:textId="77777777" w:rsidR="008F5253" w:rsidRPr="004665E0" w:rsidRDefault="008F5253" w:rsidP="00885AEA">
      <w:pPr>
        <w:spacing w:after="0" w:line="240" w:lineRule="auto"/>
        <w:jc w:val="both"/>
        <w:rPr>
          <w:rFonts w:ascii="Times New Roman" w:eastAsia="Calibri" w:hAnsi="Times New Roman" w:cs="Times New Roman"/>
          <w:iCs/>
          <w:sz w:val="24"/>
          <w:szCs w:val="24"/>
          <w:lang w:eastAsia="hr-HR"/>
        </w:rPr>
      </w:pPr>
    </w:p>
    <w:p w14:paraId="04BA1C5A" w14:textId="25D5380F" w:rsidR="007C4892" w:rsidRDefault="00C356E3" w:rsidP="003E4AB8">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U odnosu na predmete koje je Ured otvorio </w:t>
      </w:r>
      <w:r w:rsidR="00CE631B">
        <w:rPr>
          <w:rFonts w:ascii="Times New Roman" w:eastAsia="Calibri" w:hAnsi="Times New Roman" w:cs="Times New Roman"/>
          <w:bCs/>
          <w:sz w:val="24"/>
          <w:szCs w:val="24"/>
        </w:rPr>
        <w:t xml:space="preserve">na </w:t>
      </w:r>
      <w:r>
        <w:rPr>
          <w:rFonts w:ascii="Times New Roman" w:eastAsia="Calibri" w:hAnsi="Times New Roman" w:cs="Times New Roman"/>
          <w:bCs/>
          <w:sz w:val="24"/>
          <w:szCs w:val="24"/>
        </w:rPr>
        <w:t>temelj</w:t>
      </w:r>
      <w:r w:rsidR="00CE631B">
        <w:rPr>
          <w:rFonts w:ascii="Times New Roman" w:eastAsia="Calibri" w:hAnsi="Times New Roman" w:cs="Times New Roman"/>
          <w:bCs/>
          <w:sz w:val="24"/>
          <w:szCs w:val="24"/>
        </w:rPr>
        <w:t>u</w:t>
      </w:r>
      <w:r>
        <w:rPr>
          <w:rFonts w:ascii="Times New Roman" w:eastAsia="Calibri" w:hAnsi="Times New Roman" w:cs="Times New Roman"/>
          <w:bCs/>
          <w:sz w:val="24"/>
          <w:szCs w:val="24"/>
        </w:rPr>
        <w:t xml:space="preserve"> prijedloga za analitičkom obradom podataka zaprimljenih od </w:t>
      </w:r>
      <w:r w:rsidR="008C5D12">
        <w:rPr>
          <w:rFonts w:ascii="Times New Roman" w:eastAsia="Calibri" w:hAnsi="Times New Roman" w:cs="Times New Roman"/>
          <w:bCs/>
          <w:sz w:val="24"/>
          <w:szCs w:val="24"/>
        </w:rPr>
        <w:t>nadležnih</w:t>
      </w:r>
      <w:r>
        <w:rPr>
          <w:rFonts w:ascii="Times New Roman" w:eastAsia="Calibri" w:hAnsi="Times New Roman" w:cs="Times New Roman"/>
          <w:bCs/>
          <w:sz w:val="24"/>
          <w:szCs w:val="24"/>
        </w:rPr>
        <w:t xml:space="preserve"> tijela (85 prijedloga) treba napomenuti da je Ured u 2022. od </w:t>
      </w:r>
      <w:r w:rsidR="008C5D12">
        <w:rPr>
          <w:rFonts w:ascii="Times New Roman" w:eastAsia="Calibri" w:hAnsi="Times New Roman" w:cs="Times New Roman"/>
          <w:bCs/>
          <w:sz w:val="24"/>
          <w:szCs w:val="24"/>
        </w:rPr>
        <w:t>nadležnih</w:t>
      </w:r>
      <w:r>
        <w:rPr>
          <w:rFonts w:ascii="Times New Roman" w:eastAsia="Calibri" w:hAnsi="Times New Roman" w:cs="Times New Roman"/>
          <w:bCs/>
          <w:sz w:val="24"/>
          <w:szCs w:val="24"/>
        </w:rPr>
        <w:t xml:space="preserve"> tijela zaprimio još 10</w:t>
      </w:r>
      <w:r w:rsidR="008347DE">
        <w:rPr>
          <w:rFonts w:ascii="Times New Roman" w:eastAsia="Calibri" w:hAnsi="Times New Roman" w:cs="Times New Roman"/>
          <w:bCs/>
          <w:sz w:val="24"/>
          <w:szCs w:val="24"/>
        </w:rPr>
        <w:t>4</w:t>
      </w:r>
      <w:r>
        <w:rPr>
          <w:rFonts w:ascii="Times New Roman" w:eastAsia="Calibri" w:hAnsi="Times New Roman" w:cs="Times New Roman"/>
          <w:bCs/>
          <w:sz w:val="24"/>
          <w:szCs w:val="24"/>
        </w:rPr>
        <w:t xml:space="preserve"> prijedloga za analitičku obradu </w:t>
      </w:r>
      <w:r w:rsidR="00D3669B">
        <w:rPr>
          <w:rFonts w:ascii="Times New Roman" w:eastAsia="Calibri" w:hAnsi="Times New Roman" w:cs="Times New Roman"/>
          <w:bCs/>
          <w:sz w:val="24"/>
          <w:szCs w:val="24"/>
        </w:rPr>
        <w:t>ali su isti</w:t>
      </w:r>
      <w:r>
        <w:rPr>
          <w:rFonts w:ascii="Times New Roman" w:eastAsia="Calibri" w:hAnsi="Times New Roman" w:cs="Times New Roman"/>
          <w:bCs/>
          <w:sz w:val="24"/>
          <w:szCs w:val="24"/>
        </w:rPr>
        <w:t xml:space="preserve"> bili </w:t>
      </w:r>
      <w:r w:rsidR="00D3669B">
        <w:rPr>
          <w:rFonts w:ascii="Times New Roman" w:eastAsia="Calibri" w:hAnsi="Times New Roman" w:cs="Times New Roman"/>
          <w:bCs/>
          <w:sz w:val="24"/>
          <w:szCs w:val="24"/>
        </w:rPr>
        <w:t xml:space="preserve">pripojeni </w:t>
      </w:r>
      <w:r w:rsidR="00D3669B" w:rsidRPr="00ED7B4C">
        <w:rPr>
          <w:rFonts w:ascii="Times New Roman" w:eastAsia="Times New Roman" w:hAnsi="Times New Roman" w:cs="Times New Roman"/>
          <w:sz w:val="24"/>
          <w:szCs w:val="24"/>
          <w:lang w:eastAsia="hr-HR"/>
        </w:rPr>
        <w:t>već ot</w:t>
      </w:r>
      <w:r w:rsidR="00D3669B">
        <w:rPr>
          <w:rFonts w:ascii="Times New Roman" w:eastAsia="Times New Roman" w:hAnsi="Times New Roman" w:cs="Times New Roman"/>
          <w:sz w:val="24"/>
          <w:szCs w:val="24"/>
          <w:lang w:eastAsia="hr-HR"/>
        </w:rPr>
        <w:t xml:space="preserve">vorenim analitičkim predmetima. </w:t>
      </w:r>
      <w:r w:rsidRPr="004665E0">
        <w:rPr>
          <w:rFonts w:ascii="Times New Roman" w:eastAsia="Calibri" w:hAnsi="Times New Roman" w:cs="Times New Roman"/>
          <w:bCs/>
          <w:sz w:val="24"/>
          <w:szCs w:val="24"/>
        </w:rPr>
        <w:t xml:space="preserve">U Tablici </w:t>
      </w:r>
      <w:r w:rsidR="005323C8">
        <w:rPr>
          <w:rFonts w:ascii="Times New Roman" w:eastAsia="Calibri" w:hAnsi="Times New Roman" w:cs="Times New Roman"/>
          <w:bCs/>
          <w:sz w:val="24"/>
          <w:szCs w:val="24"/>
        </w:rPr>
        <w:t>5</w:t>
      </w:r>
      <w:r w:rsidRPr="004665E0">
        <w:rPr>
          <w:rFonts w:ascii="Times New Roman" w:eastAsia="Calibri" w:hAnsi="Times New Roman" w:cs="Times New Roman"/>
          <w:bCs/>
          <w:sz w:val="24"/>
          <w:szCs w:val="24"/>
        </w:rPr>
        <w:t>. dani su poda</w:t>
      </w:r>
      <w:r w:rsidR="00E205F1">
        <w:rPr>
          <w:rFonts w:ascii="Times New Roman" w:eastAsia="Calibri" w:hAnsi="Times New Roman" w:cs="Times New Roman"/>
          <w:bCs/>
          <w:sz w:val="24"/>
          <w:szCs w:val="24"/>
        </w:rPr>
        <w:t>t</w:t>
      </w:r>
      <w:r w:rsidRPr="004665E0">
        <w:rPr>
          <w:rFonts w:ascii="Times New Roman" w:eastAsia="Calibri" w:hAnsi="Times New Roman" w:cs="Times New Roman"/>
          <w:bCs/>
          <w:sz w:val="24"/>
          <w:szCs w:val="24"/>
        </w:rPr>
        <w:t>ci o broju analitičkih predmeta koje je Ured otvorio na temelju pisanih prijedloga</w:t>
      </w:r>
      <w:r>
        <w:rPr>
          <w:rFonts w:ascii="Times New Roman" w:eastAsia="Calibri" w:hAnsi="Times New Roman" w:cs="Times New Roman"/>
          <w:bCs/>
          <w:sz w:val="24"/>
          <w:szCs w:val="24"/>
        </w:rPr>
        <w:t xml:space="preserve"> po </w:t>
      </w:r>
      <w:r w:rsidR="008C5D12">
        <w:rPr>
          <w:rFonts w:ascii="Times New Roman" w:eastAsia="Calibri" w:hAnsi="Times New Roman" w:cs="Times New Roman"/>
          <w:bCs/>
          <w:sz w:val="24"/>
          <w:szCs w:val="24"/>
        </w:rPr>
        <w:t>nadležnim</w:t>
      </w:r>
      <w:r>
        <w:rPr>
          <w:rFonts w:ascii="Times New Roman" w:eastAsia="Calibri" w:hAnsi="Times New Roman" w:cs="Times New Roman"/>
          <w:bCs/>
          <w:sz w:val="24"/>
          <w:szCs w:val="24"/>
        </w:rPr>
        <w:t xml:space="preserve"> tijelima</w:t>
      </w:r>
      <w:r w:rsidR="00CE631B">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a u</w:t>
      </w:r>
      <w:r w:rsidR="00D3669B" w:rsidRPr="004665E0">
        <w:rPr>
          <w:rFonts w:ascii="Times New Roman" w:eastAsia="Calibri" w:hAnsi="Times New Roman" w:cs="Times New Roman"/>
          <w:bCs/>
          <w:sz w:val="24"/>
          <w:szCs w:val="24"/>
        </w:rPr>
        <w:t xml:space="preserve"> </w:t>
      </w:r>
      <w:r w:rsidR="005323C8">
        <w:rPr>
          <w:rFonts w:ascii="Times New Roman" w:eastAsia="Calibri" w:hAnsi="Times New Roman" w:cs="Times New Roman"/>
          <w:bCs/>
          <w:sz w:val="24"/>
          <w:szCs w:val="24"/>
        </w:rPr>
        <w:t xml:space="preserve">Tablici 6. </w:t>
      </w:r>
      <w:r w:rsidR="00D3669B">
        <w:rPr>
          <w:rFonts w:ascii="Times New Roman" w:eastAsia="Calibri" w:hAnsi="Times New Roman" w:cs="Times New Roman"/>
          <w:bCs/>
          <w:sz w:val="24"/>
          <w:szCs w:val="24"/>
        </w:rPr>
        <w:t>dan je pregled podata</w:t>
      </w:r>
      <w:r>
        <w:rPr>
          <w:rFonts w:ascii="Times New Roman" w:eastAsia="Calibri" w:hAnsi="Times New Roman" w:cs="Times New Roman"/>
          <w:bCs/>
          <w:sz w:val="24"/>
          <w:szCs w:val="24"/>
        </w:rPr>
        <w:t>ka</w:t>
      </w:r>
      <w:r w:rsidR="00D3669B">
        <w:rPr>
          <w:rFonts w:ascii="Times New Roman" w:eastAsia="Calibri" w:hAnsi="Times New Roman" w:cs="Times New Roman"/>
          <w:bCs/>
          <w:sz w:val="24"/>
          <w:szCs w:val="24"/>
        </w:rPr>
        <w:t xml:space="preserve"> o ukupnom </w:t>
      </w:r>
      <w:r w:rsidR="00D3669B" w:rsidRPr="004665E0">
        <w:rPr>
          <w:rFonts w:ascii="Times New Roman" w:eastAsia="Calibri" w:hAnsi="Times New Roman" w:cs="Times New Roman"/>
          <w:bCs/>
          <w:sz w:val="24"/>
          <w:szCs w:val="24"/>
        </w:rPr>
        <w:t>broj</w:t>
      </w:r>
      <w:r w:rsidR="00D3669B">
        <w:rPr>
          <w:rFonts w:ascii="Times New Roman" w:eastAsia="Calibri" w:hAnsi="Times New Roman" w:cs="Times New Roman"/>
          <w:bCs/>
          <w:sz w:val="24"/>
          <w:szCs w:val="24"/>
        </w:rPr>
        <w:t>u</w:t>
      </w:r>
      <w:r w:rsidR="00D3669B" w:rsidRPr="004665E0">
        <w:rPr>
          <w:rFonts w:ascii="Times New Roman" w:eastAsia="Calibri" w:hAnsi="Times New Roman" w:cs="Times New Roman"/>
          <w:bCs/>
          <w:sz w:val="24"/>
          <w:szCs w:val="24"/>
        </w:rPr>
        <w:t xml:space="preserve"> </w:t>
      </w:r>
      <w:r w:rsidR="00714497">
        <w:rPr>
          <w:rFonts w:ascii="Times New Roman" w:eastAsia="Calibri" w:hAnsi="Times New Roman" w:cs="Times New Roman"/>
          <w:bCs/>
          <w:sz w:val="24"/>
          <w:szCs w:val="24"/>
        </w:rPr>
        <w:t xml:space="preserve">zaprimljenih </w:t>
      </w:r>
      <w:r w:rsidR="00D3669B" w:rsidRPr="004665E0">
        <w:rPr>
          <w:rFonts w:ascii="Times New Roman" w:eastAsia="Calibri" w:hAnsi="Times New Roman" w:cs="Times New Roman"/>
          <w:bCs/>
          <w:sz w:val="24"/>
          <w:szCs w:val="24"/>
        </w:rPr>
        <w:t>prijedloga za analitičkom obradom</w:t>
      </w:r>
      <w:r>
        <w:rPr>
          <w:rFonts w:ascii="Times New Roman" w:eastAsia="Calibri" w:hAnsi="Times New Roman" w:cs="Times New Roman"/>
          <w:bCs/>
          <w:sz w:val="24"/>
          <w:szCs w:val="24"/>
        </w:rPr>
        <w:t xml:space="preserve"> po </w:t>
      </w:r>
      <w:r w:rsidR="008C5D12">
        <w:rPr>
          <w:rFonts w:ascii="Times New Roman" w:eastAsia="Calibri" w:hAnsi="Times New Roman" w:cs="Times New Roman"/>
          <w:bCs/>
          <w:sz w:val="24"/>
          <w:szCs w:val="24"/>
        </w:rPr>
        <w:t>nadležnim</w:t>
      </w:r>
      <w:r>
        <w:rPr>
          <w:rFonts w:ascii="Times New Roman" w:eastAsia="Calibri" w:hAnsi="Times New Roman" w:cs="Times New Roman"/>
          <w:bCs/>
          <w:sz w:val="24"/>
          <w:szCs w:val="24"/>
        </w:rPr>
        <w:t xml:space="preserve"> tijelima.</w:t>
      </w:r>
    </w:p>
    <w:p w14:paraId="72DE6CBA" w14:textId="77777777" w:rsidR="00C356E3" w:rsidRDefault="00C356E3" w:rsidP="003E4AB8">
      <w:pPr>
        <w:spacing w:after="0" w:line="240" w:lineRule="auto"/>
        <w:jc w:val="both"/>
        <w:rPr>
          <w:rFonts w:ascii="Times New Roman" w:eastAsia="Calibri" w:hAnsi="Times New Roman" w:cs="Times New Roman"/>
          <w:bCs/>
          <w:sz w:val="24"/>
          <w:szCs w:val="24"/>
        </w:rPr>
      </w:pPr>
    </w:p>
    <w:p w14:paraId="55DABBD2" w14:textId="77777777" w:rsidR="00BD2F10" w:rsidRDefault="00BD2F10">
      <w:pPr>
        <w:rPr>
          <w:rFonts w:ascii="Times New Roman" w:eastAsia="Times New Roman" w:hAnsi="Times New Roman" w:cs="Times New Roman"/>
          <w:sz w:val="24"/>
          <w:szCs w:val="24"/>
          <w:u w:val="single"/>
          <w:lang w:eastAsia="hr-HR"/>
        </w:rPr>
      </w:pPr>
      <w:r>
        <w:rPr>
          <w:rFonts w:ascii="Times New Roman" w:eastAsia="Times New Roman" w:hAnsi="Times New Roman" w:cs="Times New Roman"/>
          <w:sz w:val="24"/>
          <w:szCs w:val="24"/>
          <w:u w:val="single"/>
          <w:lang w:eastAsia="hr-HR"/>
        </w:rPr>
        <w:br w:type="page"/>
      </w:r>
    </w:p>
    <w:p w14:paraId="3ECDFA12" w14:textId="4FE45B64" w:rsidR="007B5350" w:rsidRDefault="00EA1FDD" w:rsidP="00D3669B">
      <w:pPr>
        <w:spacing w:after="0" w:line="240" w:lineRule="auto"/>
      </w:pPr>
      <w:r w:rsidRPr="00BD2F10">
        <w:rPr>
          <w:rFonts w:ascii="Times New Roman" w:eastAsia="Times New Roman" w:hAnsi="Times New Roman" w:cs="Times New Roman"/>
          <w:sz w:val="24"/>
          <w:szCs w:val="24"/>
          <w:lang w:eastAsia="hr-HR"/>
        </w:rPr>
        <w:lastRenderedPageBreak/>
        <w:t xml:space="preserve">Tablica </w:t>
      </w:r>
      <w:r w:rsidR="005323C8" w:rsidRPr="00BD2F10">
        <w:rPr>
          <w:rFonts w:ascii="Times New Roman" w:eastAsia="Times New Roman" w:hAnsi="Times New Roman" w:cs="Times New Roman"/>
          <w:sz w:val="24"/>
          <w:szCs w:val="24"/>
          <w:lang w:eastAsia="hr-HR"/>
        </w:rPr>
        <w:t>5</w:t>
      </w:r>
      <w:r w:rsidRPr="00BD2F10">
        <w:rPr>
          <w:rFonts w:ascii="Times New Roman" w:eastAsia="Times New Roman" w:hAnsi="Times New Roman" w:cs="Times New Roman"/>
          <w:sz w:val="24"/>
          <w:szCs w:val="24"/>
          <w:lang w:eastAsia="hr-HR"/>
        </w:rPr>
        <w:t xml:space="preserve">. </w:t>
      </w:r>
      <w:r w:rsidR="00547667" w:rsidRPr="00BD2F10">
        <w:rPr>
          <w:rFonts w:ascii="Times New Roman" w:eastAsia="Times New Roman" w:hAnsi="Times New Roman" w:cs="Times New Roman"/>
          <w:sz w:val="24"/>
          <w:szCs w:val="24"/>
          <w:lang w:eastAsia="hr-HR"/>
        </w:rPr>
        <w:t>Otvoreni</w:t>
      </w:r>
      <w:r w:rsidRPr="00BD2F10">
        <w:rPr>
          <w:rFonts w:ascii="Times New Roman" w:eastAsia="Times New Roman" w:hAnsi="Times New Roman" w:cs="Times New Roman"/>
          <w:sz w:val="24"/>
          <w:szCs w:val="24"/>
          <w:lang w:eastAsia="hr-HR"/>
        </w:rPr>
        <w:t xml:space="preserve"> </w:t>
      </w:r>
      <w:r w:rsidR="00547667" w:rsidRPr="00BD2F10">
        <w:rPr>
          <w:rFonts w:ascii="Times New Roman" w:eastAsia="Times New Roman" w:hAnsi="Times New Roman" w:cs="Times New Roman"/>
          <w:sz w:val="24"/>
          <w:szCs w:val="24"/>
          <w:lang w:eastAsia="hr-HR"/>
        </w:rPr>
        <w:t>analitički predmeti</w:t>
      </w:r>
      <w:r w:rsidRPr="00BD2F10">
        <w:rPr>
          <w:rFonts w:ascii="Times New Roman" w:eastAsia="Times New Roman" w:hAnsi="Times New Roman" w:cs="Times New Roman"/>
          <w:sz w:val="24"/>
          <w:szCs w:val="24"/>
          <w:lang w:eastAsia="hr-HR"/>
        </w:rPr>
        <w:t xml:space="preserve"> na temelju pisanih prijedloga za analitičkom obradom</w:t>
      </w:r>
      <w:r w:rsidR="00D3669B" w:rsidRPr="00BD2F10">
        <w:rPr>
          <w:rFonts w:ascii="Times New Roman" w:eastAsia="Times New Roman" w:hAnsi="Times New Roman" w:cs="Times New Roman"/>
          <w:sz w:val="24"/>
          <w:szCs w:val="24"/>
          <w:lang w:eastAsia="hr-HR"/>
        </w:rPr>
        <w:t xml:space="preserve"> zaprimljenih od </w:t>
      </w:r>
      <w:r w:rsidR="008C5D12">
        <w:rPr>
          <w:rFonts w:ascii="Times New Roman" w:eastAsia="Times New Roman" w:hAnsi="Times New Roman" w:cs="Times New Roman"/>
          <w:sz w:val="24"/>
          <w:szCs w:val="24"/>
          <w:lang w:eastAsia="hr-HR"/>
        </w:rPr>
        <w:t>nadležnih</w:t>
      </w:r>
      <w:r w:rsidR="00D3669B" w:rsidRPr="00BD2F10">
        <w:rPr>
          <w:rFonts w:ascii="Times New Roman" w:eastAsia="Times New Roman" w:hAnsi="Times New Roman" w:cs="Times New Roman"/>
          <w:sz w:val="24"/>
          <w:szCs w:val="24"/>
          <w:lang w:eastAsia="hr-HR"/>
        </w:rPr>
        <w:t xml:space="preserve"> tijela</w:t>
      </w:r>
      <w:r w:rsidR="00D21702">
        <w:rPr>
          <w:rFonts w:ascii="Times New Roman" w:eastAsia="Times New Roman" w:hAnsi="Times New Roman" w:cs="Times New Roman"/>
          <w:sz w:val="24"/>
          <w:szCs w:val="24"/>
          <w:lang w:eastAsia="hr-HR"/>
        </w:rPr>
        <w:t xml:space="preserve"> u </w:t>
      </w:r>
      <w:r w:rsidR="008C5D12">
        <w:rPr>
          <w:rFonts w:ascii="Times New Roman" w:eastAsia="Times New Roman" w:hAnsi="Times New Roman" w:cs="Times New Roman"/>
          <w:sz w:val="24"/>
          <w:szCs w:val="24"/>
          <w:lang w:eastAsia="hr-HR"/>
        </w:rPr>
        <w:t xml:space="preserve">2021. i </w:t>
      </w:r>
      <w:r w:rsidR="00D21702">
        <w:rPr>
          <w:rFonts w:ascii="Times New Roman" w:eastAsia="Times New Roman" w:hAnsi="Times New Roman" w:cs="Times New Roman"/>
          <w:sz w:val="24"/>
          <w:szCs w:val="24"/>
          <w:lang w:eastAsia="hr-HR"/>
        </w:rPr>
        <w:t>2022.</w:t>
      </w:r>
      <w:r w:rsidR="007B5350">
        <w:rPr>
          <w:lang w:eastAsia="hr-HR"/>
        </w:rPr>
        <w:fldChar w:fldCharType="begin"/>
      </w:r>
      <w:r w:rsidR="007B5350">
        <w:rPr>
          <w:lang w:eastAsia="hr-HR"/>
        </w:rPr>
        <w:instrText xml:space="preserve"> LINK Excel.Sheet.12 "C:\\Users\\abilus\\Desktop\\Posao\\TABLICE ANALITIKE.xlsx" "List2!R1C1:R13C5" \a \f 4 \h </w:instrText>
      </w:r>
      <w:r w:rsidR="007B5350">
        <w:rPr>
          <w:lang w:eastAsia="hr-HR"/>
        </w:rPr>
        <w:fldChar w:fldCharType="separate"/>
      </w:r>
    </w:p>
    <w:tbl>
      <w:tblPr>
        <w:tblW w:w="8860" w:type="dxa"/>
        <w:tblLook w:val="04A0" w:firstRow="1" w:lastRow="0" w:firstColumn="1" w:lastColumn="0" w:noHBand="0" w:noVBand="1"/>
      </w:tblPr>
      <w:tblGrid>
        <w:gridCol w:w="4018"/>
        <w:gridCol w:w="1361"/>
        <w:gridCol w:w="1060"/>
        <w:gridCol w:w="1361"/>
        <w:gridCol w:w="1060"/>
      </w:tblGrid>
      <w:tr w:rsidR="007B5350" w:rsidRPr="007B5350" w14:paraId="212D2F08" w14:textId="77777777" w:rsidTr="007B5350">
        <w:trPr>
          <w:trHeight w:val="420"/>
        </w:trPr>
        <w:tc>
          <w:tcPr>
            <w:tcW w:w="41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7C3A2C1" w14:textId="13C9C66D" w:rsidR="007B5350" w:rsidRPr="007B5350" w:rsidRDefault="007B5350" w:rsidP="007B5350">
            <w:pPr>
              <w:spacing w:after="0" w:line="240" w:lineRule="auto"/>
              <w:rPr>
                <w:rFonts w:ascii="Times New Roman" w:eastAsia="Times New Roman" w:hAnsi="Times New Roman" w:cs="Times New Roman"/>
                <w:b/>
                <w:bCs/>
                <w:color w:val="000000"/>
                <w:sz w:val="20"/>
                <w:szCs w:val="20"/>
                <w:lang w:eastAsia="hr-HR"/>
              </w:rPr>
            </w:pPr>
            <w:r w:rsidRPr="007B5350">
              <w:rPr>
                <w:rFonts w:ascii="Times New Roman" w:eastAsia="Times New Roman" w:hAnsi="Times New Roman" w:cs="Times New Roman"/>
                <w:b/>
                <w:bCs/>
                <w:color w:val="000000"/>
                <w:sz w:val="20"/>
                <w:szCs w:val="20"/>
                <w:lang w:eastAsia="hr-HR"/>
              </w:rPr>
              <w:t>NADLEŽNO TIJELO</w:t>
            </w:r>
          </w:p>
        </w:tc>
        <w:tc>
          <w:tcPr>
            <w:tcW w:w="23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479C22" w14:textId="77777777" w:rsidR="007B5350" w:rsidRPr="007B5350" w:rsidRDefault="007B5350" w:rsidP="007B5350">
            <w:pPr>
              <w:spacing w:after="0" w:line="240" w:lineRule="auto"/>
              <w:jc w:val="center"/>
              <w:rPr>
                <w:rFonts w:ascii="Times New Roman" w:eastAsia="Times New Roman" w:hAnsi="Times New Roman" w:cs="Times New Roman"/>
                <w:b/>
                <w:bCs/>
                <w:color w:val="000000"/>
                <w:lang w:eastAsia="hr-HR"/>
              </w:rPr>
            </w:pPr>
            <w:r w:rsidRPr="007B5350">
              <w:rPr>
                <w:rFonts w:ascii="Times New Roman" w:eastAsia="Times New Roman" w:hAnsi="Times New Roman" w:cs="Times New Roman"/>
                <w:b/>
                <w:bCs/>
                <w:color w:val="000000"/>
                <w:lang w:eastAsia="hr-HR"/>
              </w:rPr>
              <w:t>2021.</w:t>
            </w:r>
          </w:p>
        </w:tc>
        <w:tc>
          <w:tcPr>
            <w:tcW w:w="23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3D8BE9" w14:textId="77777777" w:rsidR="007B5350" w:rsidRPr="007B5350" w:rsidRDefault="007B5350" w:rsidP="007B5350">
            <w:pPr>
              <w:spacing w:after="0" w:line="240" w:lineRule="auto"/>
              <w:jc w:val="center"/>
              <w:rPr>
                <w:rFonts w:ascii="Times New Roman" w:eastAsia="Times New Roman" w:hAnsi="Times New Roman" w:cs="Times New Roman"/>
                <w:b/>
                <w:bCs/>
                <w:color w:val="000000"/>
                <w:lang w:eastAsia="hr-HR"/>
              </w:rPr>
            </w:pPr>
            <w:r w:rsidRPr="007B5350">
              <w:rPr>
                <w:rFonts w:ascii="Times New Roman" w:eastAsia="Times New Roman" w:hAnsi="Times New Roman" w:cs="Times New Roman"/>
                <w:b/>
                <w:bCs/>
                <w:color w:val="000000"/>
                <w:lang w:eastAsia="hr-HR"/>
              </w:rPr>
              <w:t>2022.</w:t>
            </w:r>
          </w:p>
        </w:tc>
      </w:tr>
      <w:tr w:rsidR="007B5350" w:rsidRPr="007B5350" w14:paraId="3CA4DF14" w14:textId="77777777" w:rsidTr="007B5350">
        <w:trPr>
          <w:trHeight w:val="528"/>
        </w:trPr>
        <w:tc>
          <w:tcPr>
            <w:tcW w:w="4180" w:type="dxa"/>
            <w:vMerge/>
            <w:tcBorders>
              <w:top w:val="single" w:sz="4" w:space="0" w:color="auto"/>
              <w:left w:val="single" w:sz="4" w:space="0" w:color="auto"/>
              <w:bottom w:val="single" w:sz="4" w:space="0" w:color="auto"/>
              <w:right w:val="single" w:sz="4" w:space="0" w:color="auto"/>
            </w:tcBorders>
            <w:vAlign w:val="center"/>
            <w:hideMark/>
          </w:tcPr>
          <w:p w14:paraId="5D720106" w14:textId="77777777" w:rsidR="007B5350" w:rsidRPr="007B5350" w:rsidRDefault="007B5350" w:rsidP="007B5350">
            <w:pPr>
              <w:spacing w:after="0" w:line="240" w:lineRule="auto"/>
              <w:rPr>
                <w:rFonts w:ascii="Times New Roman" w:eastAsia="Times New Roman" w:hAnsi="Times New Roman" w:cs="Times New Roman"/>
                <w:b/>
                <w:bCs/>
                <w:color w:val="000000"/>
                <w:sz w:val="20"/>
                <w:szCs w:val="20"/>
                <w:lang w:eastAsia="hr-HR"/>
              </w:rPr>
            </w:pPr>
          </w:p>
        </w:tc>
        <w:tc>
          <w:tcPr>
            <w:tcW w:w="1280" w:type="dxa"/>
            <w:tcBorders>
              <w:top w:val="nil"/>
              <w:left w:val="nil"/>
              <w:bottom w:val="single" w:sz="4" w:space="0" w:color="auto"/>
              <w:right w:val="single" w:sz="4" w:space="0" w:color="auto"/>
            </w:tcBorders>
            <w:shd w:val="clear" w:color="000000" w:fill="F2F2F2"/>
            <w:vAlign w:val="center"/>
            <w:hideMark/>
          </w:tcPr>
          <w:p w14:paraId="799E2914" w14:textId="77777777" w:rsidR="007B5350" w:rsidRPr="007B5350" w:rsidRDefault="007B5350" w:rsidP="007B5350">
            <w:pPr>
              <w:spacing w:after="0" w:line="240" w:lineRule="auto"/>
              <w:jc w:val="center"/>
              <w:rPr>
                <w:rFonts w:ascii="Times New Roman" w:eastAsia="Times New Roman" w:hAnsi="Times New Roman" w:cs="Times New Roman"/>
                <w:b/>
                <w:bCs/>
                <w:color w:val="000000"/>
                <w:sz w:val="20"/>
                <w:szCs w:val="20"/>
                <w:lang w:eastAsia="hr-HR"/>
              </w:rPr>
            </w:pPr>
            <w:r w:rsidRPr="007B5350">
              <w:rPr>
                <w:rFonts w:ascii="Times New Roman" w:eastAsia="Times New Roman" w:hAnsi="Times New Roman" w:cs="Times New Roman"/>
                <w:b/>
                <w:bCs/>
                <w:color w:val="000000"/>
                <w:sz w:val="20"/>
                <w:szCs w:val="20"/>
                <w:lang w:eastAsia="hr-HR"/>
              </w:rPr>
              <w:t>BROJ PREDMETA</w:t>
            </w:r>
          </w:p>
        </w:tc>
        <w:tc>
          <w:tcPr>
            <w:tcW w:w="1060" w:type="dxa"/>
            <w:tcBorders>
              <w:top w:val="nil"/>
              <w:left w:val="nil"/>
              <w:bottom w:val="single" w:sz="4" w:space="0" w:color="auto"/>
              <w:right w:val="single" w:sz="4" w:space="0" w:color="auto"/>
            </w:tcBorders>
            <w:shd w:val="clear" w:color="000000" w:fill="F2F2F2"/>
            <w:noWrap/>
            <w:vAlign w:val="center"/>
            <w:hideMark/>
          </w:tcPr>
          <w:p w14:paraId="439AE5AB" w14:textId="77777777" w:rsidR="007B5350" w:rsidRPr="007B5350" w:rsidRDefault="007B5350" w:rsidP="007B5350">
            <w:pPr>
              <w:spacing w:after="0" w:line="240" w:lineRule="auto"/>
              <w:jc w:val="center"/>
              <w:rPr>
                <w:rFonts w:ascii="Times New Roman" w:eastAsia="Times New Roman" w:hAnsi="Times New Roman" w:cs="Times New Roman"/>
                <w:b/>
                <w:bCs/>
                <w:color w:val="000000"/>
                <w:sz w:val="20"/>
                <w:szCs w:val="20"/>
                <w:lang w:eastAsia="hr-HR"/>
              </w:rPr>
            </w:pPr>
            <w:r w:rsidRPr="007B5350">
              <w:rPr>
                <w:rFonts w:ascii="Times New Roman" w:eastAsia="Times New Roman" w:hAnsi="Times New Roman" w:cs="Times New Roman"/>
                <w:b/>
                <w:bCs/>
                <w:color w:val="000000"/>
                <w:sz w:val="20"/>
                <w:szCs w:val="20"/>
                <w:lang w:eastAsia="hr-HR"/>
              </w:rPr>
              <w:t>%</w:t>
            </w:r>
          </w:p>
        </w:tc>
        <w:tc>
          <w:tcPr>
            <w:tcW w:w="1280" w:type="dxa"/>
            <w:tcBorders>
              <w:top w:val="nil"/>
              <w:left w:val="nil"/>
              <w:bottom w:val="single" w:sz="4" w:space="0" w:color="auto"/>
              <w:right w:val="single" w:sz="4" w:space="0" w:color="auto"/>
            </w:tcBorders>
            <w:shd w:val="clear" w:color="000000" w:fill="F2F2F2"/>
            <w:vAlign w:val="center"/>
            <w:hideMark/>
          </w:tcPr>
          <w:p w14:paraId="28699F46" w14:textId="77777777" w:rsidR="007B5350" w:rsidRPr="007B5350" w:rsidRDefault="007B5350" w:rsidP="007B5350">
            <w:pPr>
              <w:spacing w:after="0" w:line="240" w:lineRule="auto"/>
              <w:jc w:val="center"/>
              <w:rPr>
                <w:rFonts w:ascii="Times New Roman" w:eastAsia="Times New Roman" w:hAnsi="Times New Roman" w:cs="Times New Roman"/>
                <w:b/>
                <w:bCs/>
                <w:color w:val="000000"/>
                <w:sz w:val="20"/>
                <w:szCs w:val="20"/>
                <w:lang w:eastAsia="hr-HR"/>
              </w:rPr>
            </w:pPr>
            <w:r w:rsidRPr="007B5350">
              <w:rPr>
                <w:rFonts w:ascii="Times New Roman" w:eastAsia="Times New Roman" w:hAnsi="Times New Roman" w:cs="Times New Roman"/>
                <w:b/>
                <w:bCs/>
                <w:color w:val="000000"/>
                <w:sz w:val="20"/>
                <w:szCs w:val="20"/>
                <w:lang w:eastAsia="hr-HR"/>
              </w:rPr>
              <w:t>BROJ PREDMETA</w:t>
            </w:r>
          </w:p>
        </w:tc>
        <w:tc>
          <w:tcPr>
            <w:tcW w:w="1060" w:type="dxa"/>
            <w:tcBorders>
              <w:top w:val="nil"/>
              <w:left w:val="nil"/>
              <w:bottom w:val="single" w:sz="4" w:space="0" w:color="auto"/>
              <w:right w:val="single" w:sz="4" w:space="0" w:color="auto"/>
            </w:tcBorders>
            <w:shd w:val="clear" w:color="000000" w:fill="F2F2F2"/>
            <w:noWrap/>
            <w:vAlign w:val="center"/>
            <w:hideMark/>
          </w:tcPr>
          <w:p w14:paraId="77100536" w14:textId="77777777" w:rsidR="007B5350" w:rsidRPr="007B5350" w:rsidRDefault="007B5350" w:rsidP="007B5350">
            <w:pPr>
              <w:spacing w:after="0" w:line="240" w:lineRule="auto"/>
              <w:jc w:val="center"/>
              <w:rPr>
                <w:rFonts w:ascii="Times New Roman" w:eastAsia="Times New Roman" w:hAnsi="Times New Roman" w:cs="Times New Roman"/>
                <w:b/>
                <w:bCs/>
                <w:color w:val="000000"/>
                <w:sz w:val="20"/>
                <w:szCs w:val="20"/>
                <w:lang w:eastAsia="hr-HR"/>
              </w:rPr>
            </w:pPr>
            <w:r w:rsidRPr="007B5350">
              <w:rPr>
                <w:rFonts w:ascii="Times New Roman" w:eastAsia="Times New Roman" w:hAnsi="Times New Roman" w:cs="Times New Roman"/>
                <w:b/>
                <w:bCs/>
                <w:color w:val="000000"/>
                <w:sz w:val="20"/>
                <w:szCs w:val="20"/>
                <w:lang w:eastAsia="hr-HR"/>
              </w:rPr>
              <w:t>%</w:t>
            </w:r>
          </w:p>
        </w:tc>
      </w:tr>
      <w:tr w:rsidR="007B5350" w:rsidRPr="007B5350" w14:paraId="2D818BE1" w14:textId="77777777" w:rsidTr="007B5350">
        <w:trPr>
          <w:trHeight w:val="276"/>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C0EE2DA" w14:textId="77777777" w:rsidR="007B5350" w:rsidRPr="007B5350" w:rsidRDefault="007B5350" w:rsidP="007B5350">
            <w:pPr>
              <w:spacing w:after="0" w:line="240" w:lineRule="auto"/>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MUP</w:t>
            </w:r>
          </w:p>
        </w:tc>
        <w:tc>
          <w:tcPr>
            <w:tcW w:w="1280" w:type="dxa"/>
            <w:tcBorders>
              <w:top w:val="nil"/>
              <w:left w:val="nil"/>
              <w:bottom w:val="single" w:sz="4" w:space="0" w:color="auto"/>
              <w:right w:val="single" w:sz="4" w:space="0" w:color="auto"/>
            </w:tcBorders>
            <w:shd w:val="clear" w:color="auto" w:fill="auto"/>
            <w:vAlign w:val="center"/>
            <w:hideMark/>
          </w:tcPr>
          <w:p w14:paraId="02217DD8"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37</w:t>
            </w:r>
          </w:p>
        </w:tc>
        <w:tc>
          <w:tcPr>
            <w:tcW w:w="1060" w:type="dxa"/>
            <w:tcBorders>
              <w:top w:val="nil"/>
              <w:left w:val="nil"/>
              <w:bottom w:val="single" w:sz="4" w:space="0" w:color="auto"/>
              <w:right w:val="single" w:sz="4" w:space="0" w:color="auto"/>
            </w:tcBorders>
            <w:shd w:val="clear" w:color="auto" w:fill="auto"/>
            <w:vAlign w:val="center"/>
            <w:hideMark/>
          </w:tcPr>
          <w:p w14:paraId="59E5873B"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62,71%</w:t>
            </w:r>
          </w:p>
        </w:tc>
        <w:tc>
          <w:tcPr>
            <w:tcW w:w="1280" w:type="dxa"/>
            <w:tcBorders>
              <w:top w:val="nil"/>
              <w:left w:val="nil"/>
              <w:bottom w:val="single" w:sz="4" w:space="0" w:color="auto"/>
              <w:right w:val="single" w:sz="4" w:space="0" w:color="auto"/>
            </w:tcBorders>
            <w:shd w:val="clear" w:color="auto" w:fill="auto"/>
            <w:vAlign w:val="center"/>
            <w:hideMark/>
          </w:tcPr>
          <w:p w14:paraId="5581D261"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63</w:t>
            </w:r>
          </w:p>
        </w:tc>
        <w:tc>
          <w:tcPr>
            <w:tcW w:w="1060" w:type="dxa"/>
            <w:tcBorders>
              <w:top w:val="nil"/>
              <w:left w:val="nil"/>
              <w:bottom w:val="single" w:sz="4" w:space="0" w:color="auto"/>
              <w:right w:val="single" w:sz="4" w:space="0" w:color="auto"/>
            </w:tcBorders>
            <w:shd w:val="clear" w:color="auto" w:fill="auto"/>
            <w:noWrap/>
            <w:vAlign w:val="center"/>
            <w:hideMark/>
          </w:tcPr>
          <w:p w14:paraId="7070ABF3"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74,12%</w:t>
            </w:r>
          </w:p>
        </w:tc>
      </w:tr>
      <w:tr w:rsidR="007B5350" w:rsidRPr="007B5350" w14:paraId="675916FF" w14:textId="77777777" w:rsidTr="007B5350">
        <w:trPr>
          <w:trHeight w:val="276"/>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DE0014A" w14:textId="77777777" w:rsidR="007B5350" w:rsidRPr="007B5350" w:rsidRDefault="007B5350" w:rsidP="007B5350">
            <w:pPr>
              <w:spacing w:after="0" w:line="240" w:lineRule="auto"/>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USKOK</w:t>
            </w:r>
          </w:p>
        </w:tc>
        <w:tc>
          <w:tcPr>
            <w:tcW w:w="1280" w:type="dxa"/>
            <w:tcBorders>
              <w:top w:val="nil"/>
              <w:left w:val="nil"/>
              <w:bottom w:val="single" w:sz="4" w:space="0" w:color="auto"/>
              <w:right w:val="single" w:sz="4" w:space="0" w:color="auto"/>
            </w:tcBorders>
            <w:shd w:val="clear" w:color="auto" w:fill="auto"/>
            <w:vAlign w:val="center"/>
            <w:hideMark/>
          </w:tcPr>
          <w:p w14:paraId="759E69D1"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6</w:t>
            </w:r>
          </w:p>
        </w:tc>
        <w:tc>
          <w:tcPr>
            <w:tcW w:w="1060" w:type="dxa"/>
            <w:tcBorders>
              <w:top w:val="nil"/>
              <w:left w:val="nil"/>
              <w:bottom w:val="single" w:sz="4" w:space="0" w:color="auto"/>
              <w:right w:val="single" w:sz="4" w:space="0" w:color="auto"/>
            </w:tcBorders>
            <w:shd w:val="clear" w:color="auto" w:fill="auto"/>
            <w:vAlign w:val="center"/>
            <w:hideMark/>
          </w:tcPr>
          <w:p w14:paraId="594E7361"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10,17%</w:t>
            </w:r>
          </w:p>
        </w:tc>
        <w:tc>
          <w:tcPr>
            <w:tcW w:w="1280" w:type="dxa"/>
            <w:tcBorders>
              <w:top w:val="nil"/>
              <w:left w:val="nil"/>
              <w:bottom w:val="single" w:sz="4" w:space="0" w:color="auto"/>
              <w:right w:val="single" w:sz="4" w:space="0" w:color="auto"/>
            </w:tcBorders>
            <w:shd w:val="clear" w:color="auto" w:fill="auto"/>
            <w:noWrap/>
            <w:vAlign w:val="center"/>
            <w:hideMark/>
          </w:tcPr>
          <w:p w14:paraId="31AD4534"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6</w:t>
            </w:r>
          </w:p>
        </w:tc>
        <w:tc>
          <w:tcPr>
            <w:tcW w:w="1060" w:type="dxa"/>
            <w:tcBorders>
              <w:top w:val="nil"/>
              <w:left w:val="nil"/>
              <w:bottom w:val="single" w:sz="4" w:space="0" w:color="auto"/>
              <w:right w:val="single" w:sz="4" w:space="0" w:color="auto"/>
            </w:tcBorders>
            <w:shd w:val="clear" w:color="auto" w:fill="auto"/>
            <w:noWrap/>
            <w:vAlign w:val="center"/>
            <w:hideMark/>
          </w:tcPr>
          <w:p w14:paraId="5F44A41F"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7,06%</w:t>
            </w:r>
          </w:p>
        </w:tc>
      </w:tr>
      <w:tr w:rsidR="007B5350" w:rsidRPr="007B5350" w14:paraId="47C40DD1" w14:textId="77777777" w:rsidTr="007B5350">
        <w:trPr>
          <w:trHeight w:val="276"/>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FD41764" w14:textId="77777777" w:rsidR="007B5350" w:rsidRPr="007B5350" w:rsidRDefault="007B5350" w:rsidP="007B5350">
            <w:pPr>
              <w:spacing w:after="0" w:line="240" w:lineRule="auto"/>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 xml:space="preserve">NADLEŽNA DRŽAVNA ODVJETNIŠTVA </w:t>
            </w:r>
          </w:p>
        </w:tc>
        <w:tc>
          <w:tcPr>
            <w:tcW w:w="1280" w:type="dxa"/>
            <w:tcBorders>
              <w:top w:val="nil"/>
              <w:left w:val="nil"/>
              <w:bottom w:val="single" w:sz="4" w:space="0" w:color="auto"/>
              <w:right w:val="single" w:sz="4" w:space="0" w:color="auto"/>
            </w:tcBorders>
            <w:shd w:val="clear" w:color="auto" w:fill="auto"/>
            <w:vAlign w:val="center"/>
            <w:hideMark/>
          </w:tcPr>
          <w:p w14:paraId="6692409A"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1</w:t>
            </w:r>
          </w:p>
        </w:tc>
        <w:tc>
          <w:tcPr>
            <w:tcW w:w="1060" w:type="dxa"/>
            <w:tcBorders>
              <w:top w:val="nil"/>
              <w:left w:val="nil"/>
              <w:bottom w:val="single" w:sz="4" w:space="0" w:color="auto"/>
              <w:right w:val="single" w:sz="4" w:space="0" w:color="auto"/>
            </w:tcBorders>
            <w:shd w:val="clear" w:color="auto" w:fill="auto"/>
            <w:vAlign w:val="center"/>
            <w:hideMark/>
          </w:tcPr>
          <w:p w14:paraId="13C535A8"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1,69&amp;</w:t>
            </w:r>
          </w:p>
        </w:tc>
        <w:tc>
          <w:tcPr>
            <w:tcW w:w="1280" w:type="dxa"/>
            <w:tcBorders>
              <w:top w:val="nil"/>
              <w:left w:val="nil"/>
              <w:bottom w:val="single" w:sz="4" w:space="0" w:color="auto"/>
              <w:right w:val="single" w:sz="4" w:space="0" w:color="auto"/>
            </w:tcBorders>
            <w:shd w:val="clear" w:color="auto" w:fill="auto"/>
            <w:noWrap/>
            <w:vAlign w:val="center"/>
            <w:hideMark/>
          </w:tcPr>
          <w:p w14:paraId="0FA81C1E"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6</w:t>
            </w:r>
          </w:p>
        </w:tc>
        <w:tc>
          <w:tcPr>
            <w:tcW w:w="1060" w:type="dxa"/>
            <w:tcBorders>
              <w:top w:val="nil"/>
              <w:left w:val="nil"/>
              <w:bottom w:val="single" w:sz="4" w:space="0" w:color="auto"/>
              <w:right w:val="single" w:sz="4" w:space="0" w:color="auto"/>
            </w:tcBorders>
            <w:shd w:val="clear" w:color="auto" w:fill="auto"/>
            <w:noWrap/>
            <w:vAlign w:val="center"/>
            <w:hideMark/>
          </w:tcPr>
          <w:p w14:paraId="3F4B5336"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7,06%</w:t>
            </w:r>
          </w:p>
        </w:tc>
      </w:tr>
      <w:tr w:rsidR="007B5350" w:rsidRPr="007B5350" w14:paraId="2D1EE5BD" w14:textId="77777777" w:rsidTr="007B5350">
        <w:trPr>
          <w:trHeight w:val="276"/>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752E48A" w14:textId="77777777" w:rsidR="007B5350" w:rsidRPr="007B5350" w:rsidRDefault="007B5350" w:rsidP="007B5350">
            <w:pPr>
              <w:spacing w:after="0" w:line="240" w:lineRule="auto"/>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 xml:space="preserve">POREZNA UPRAVA </w:t>
            </w:r>
          </w:p>
        </w:tc>
        <w:tc>
          <w:tcPr>
            <w:tcW w:w="1280" w:type="dxa"/>
            <w:tcBorders>
              <w:top w:val="nil"/>
              <w:left w:val="nil"/>
              <w:bottom w:val="single" w:sz="4" w:space="0" w:color="auto"/>
              <w:right w:val="single" w:sz="4" w:space="0" w:color="auto"/>
            </w:tcBorders>
            <w:shd w:val="clear" w:color="auto" w:fill="auto"/>
            <w:vAlign w:val="center"/>
            <w:hideMark/>
          </w:tcPr>
          <w:p w14:paraId="52166543"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1</w:t>
            </w:r>
          </w:p>
        </w:tc>
        <w:tc>
          <w:tcPr>
            <w:tcW w:w="1060" w:type="dxa"/>
            <w:tcBorders>
              <w:top w:val="nil"/>
              <w:left w:val="nil"/>
              <w:bottom w:val="single" w:sz="4" w:space="0" w:color="auto"/>
              <w:right w:val="single" w:sz="4" w:space="0" w:color="auto"/>
            </w:tcBorders>
            <w:shd w:val="clear" w:color="auto" w:fill="auto"/>
            <w:vAlign w:val="center"/>
            <w:hideMark/>
          </w:tcPr>
          <w:p w14:paraId="4037A118"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1,69&amp;</w:t>
            </w:r>
          </w:p>
        </w:tc>
        <w:tc>
          <w:tcPr>
            <w:tcW w:w="1280" w:type="dxa"/>
            <w:tcBorders>
              <w:top w:val="nil"/>
              <w:left w:val="nil"/>
              <w:bottom w:val="single" w:sz="4" w:space="0" w:color="auto"/>
              <w:right w:val="single" w:sz="4" w:space="0" w:color="auto"/>
            </w:tcBorders>
            <w:shd w:val="clear" w:color="auto" w:fill="auto"/>
            <w:noWrap/>
            <w:vAlign w:val="center"/>
            <w:hideMark/>
          </w:tcPr>
          <w:p w14:paraId="312BE2D2"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3</w:t>
            </w:r>
          </w:p>
        </w:tc>
        <w:tc>
          <w:tcPr>
            <w:tcW w:w="1060" w:type="dxa"/>
            <w:tcBorders>
              <w:top w:val="nil"/>
              <w:left w:val="nil"/>
              <w:bottom w:val="single" w:sz="4" w:space="0" w:color="auto"/>
              <w:right w:val="single" w:sz="4" w:space="0" w:color="auto"/>
            </w:tcBorders>
            <w:shd w:val="clear" w:color="auto" w:fill="auto"/>
            <w:noWrap/>
            <w:vAlign w:val="center"/>
            <w:hideMark/>
          </w:tcPr>
          <w:p w14:paraId="7BA9689A"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3,53%</w:t>
            </w:r>
          </w:p>
        </w:tc>
      </w:tr>
      <w:tr w:rsidR="007B5350" w:rsidRPr="007B5350" w14:paraId="2139BEA3" w14:textId="77777777" w:rsidTr="007B5350">
        <w:trPr>
          <w:trHeight w:val="276"/>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5605F00" w14:textId="77777777" w:rsidR="007B5350" w:rsidRPr="007B5350" w:rsidRDefault="007B5350" w:rsidP="007B5350">
            <w:pPr>
              <w:spacing w:after="0" w:line="240" w:lineRule="auto"/>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CARINSKA UPRAVA</w:t>
            </w:r>
          </w:p>
        </w:tc>
        <w:tc>
          <w:tcPr>
            <w:tcW w:w="1280" w:type="dxa"/>
            <w:tcBorders>
              <w:top w:val="nil"/>
              <w:left w:val="nil"/>
              <w:bottom w:val="single" w:sz="4" w:space="0" w:color="auto"/>
              <w:right w:val="single" w:sz="4" w:space="0" w:color="auto"/>
            </w:tcBorders>
            <w:shd w:val="clear" w:color="auto" w:fill="auto"/>
            <w:vAlign w:val="center"/>
            <w:hideMark/>
          </w:tcPr>
          <w:p w14:paraId="2D294696"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5</w:t>
            </w:r>
          </w:p>
        </w:tc>
        <w:tc>
          <w:tcPr>
            <w:tcW w:w="1060" w:type="dxa"/>
            <w:tcBorders>
              <w:top w:val="nil"/>
              <w:left w:val="nil"/>
              <w:bottom w:val="single" w:sz="4" w:space="0" w:color="auto"/>
              <w:right w:val="single" w:sz="4" w:space="0" w:color="auto"/>
            </w:tcBorders>
            <w:shd w:val="clear" w:color="auto" w:fill="auto"/>
            <w:vAlign w:val="center"/>
            <w:hideMark/>
          </w:tcPr>
          <w:p w14:paraId="2385BC30"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8,47%</w:t>
            </w:r>
          </w:p>
        </w:tc>
        <w:tc>
          <w:tcPr>
            <w:tcW w:w="1280" w:type="dxa"/>
            <w:tcBorders>
              <w:top w:val="nil"/>
              <w:left w:val="nil"/>
              <w:bottom w:val="single" w:sz="4" w:space="0" w:color="auto"/>
              <w:right w:val="single" w:sz="4" w:space="0" w:color="auto"/>
            </w:tcBorders>
            <w:shd w:val="clear" w:color="auto" w:fill="auto"/>
            <w:noWrap/>
            <w:vAlign w:val="center"/>
            <w:hideMark/>
          </w:tcPr>
          <w:p w14:paraId="5C915327"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3</w:t>
            </w:r>
          </w:p>
        </w:tc>
        <w:tc>
          <w:tcPr>
            <w:tcW w:w="1060" w:type="dxa"/>
            <w:tcBorders>
              <w:top w:val="nil"/>
              <w:left w:val="nil"/>
              <w:bottom w:val="single" w:sz="4" w:space="0" w:color="auto"/>
              <w:right w:val="single" w:sz="4" w:space="0" w:color="auto"/>
            </w:tcBorders>
            <w:shd w:val="clear" w:color="auto" w:fill="auto"/>
            <w:noWrap/>
            <w:vAlign w:val="center"/>
            <w:hideMark/>
          </w:tcPr>
          <w:p w14:paraId="4E2FF794"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3,53%</w:t>
            </w:r>
          </w:p>
        </w:tc>
      </w:tr>
      <w:tr w:rsidR="007B5350" w:rsidRPr="007B5350" w14:paraId="6A169B16" w14:textId="77777777" w:rsidTr="007B5350">
        <w:trPr>
          <w:trHeight w:val="528"/>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F532CD6" w14:textId="77777777" w:rsidR="007B5350" w:rsidRPr="007B5350" w:rsidRDefault="007B5350" w:rsidP="007B5350">
            <w:pPr>
              <w:spacing w:after="0" w:line="240" w:lineRule="auto"/>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URED DELEGIRANOG EUROPSKOG TUŽITELJA U RH</w:t>
            </w:r>
          </w:p>
        </w:tc>
        <w:tc>
          <w:tcPr>
            <w:tcW w:w="1280" w:type="dxa"/>
            <w:tcBorders>
              <w:top w:val="nil"/>
              <w:left w:val="nil"/>
              <w:bottom w:val="single" w:sz="4" w:space="0" w:color="auto"/>
              <w:right w:val="single" w:sz="4" w:space="0" w:color="auto"/>
            </w:tcBorders>
            <w:shd w:val="clear" w:color="auto" w:fill="auto"/>
            <w:vAlign w:val="center"/>
            <w:hideMark/>
          </w:tcPr>
          <w:p w14:paraId="74EBDB5D"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1</w:t>
            </w:r>
          </w:p>
        </w:tc>
        <w:tc>
          <w:tcPr>
            <w:tcW w:w="1060" w:type="dxa"/>
            <w:tcBorders>
              <w:top w:val="nil"/>
              <w:left w:val="nil"/>
              <w:bottom w:val="single" w:sz="4" w:space="0" w:color="auto"/>
              <w:right w:val="single" w:sz="4" w:space="0" w:color="auto"/>
            </w:tcBorders>
            <w:shd w:val="clear" w:color="auto" w:fill="auto"/>
            <w:vAlign w:val="center"/>
            <w:hideMark/>
          </w:tcPr>
          <w:p w14:paraId="174B85E2"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1,69&amp;</w:t>
            </w:r>
          </w:p>
        </w:tc>
        <w:tc>
          <w:tcPr>
            <w:tcW w:w="1280" w:type="dxa"/>
            <w:tcBorders>
              <w:top w:val="nil"/>
              <w:left w:val="nil"/>
              <w:bottom w:val="single" w:sz="4" w:space="0" w:color="auto"/>
              <w:right w:val="single" w:sz="4" w:space="0" w:color="auto"/>
            </w:tcBorders>
            <w:shd w:val="clear" w:color="auto" w:fill="auto"/>
            <w:noWrap/>
            <w:vAlign w:val="center"/>
            <w:hideMark/>
          </w:tcPr>
          <w:p w14:paraId="475BF5C2"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2</w:t>
            </w:r>
          </w:p>
        </w:tc>
        <w:tc>
          <w:tcPr>
            <w:tcW w:w="1060" w:type="dxa"/>
            <w:tcBorders>
              <w:top w:val="nil"/>
              <w:left w:val="nil"/>
              <w:bottom w:val="single" w:sz="4" w:space="0" w:color="auto"/>
              <w:right w:val="single" w:sz="4" w:space="0" w:color="auto"/>
            </w:tcBorders>
            <w:shd w:val="clear" w:color="auto" w:fill="auto"/>
            <w:noWrap/>
            <w:vAlign w:val="center"/>
            <w:hideMark/>
          </w:tcPr>
          <w:p w14:paraId="2DEFF855"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2,35%</w:t>
            </w:r>
          </w:p>
        </w:tc>
      </w:tr>
      <w:tr w:rsidR="007B5350" w:rsidRPr="007B5350" w14:paraId="192A5AC2" w14:textId="77777777" w:rsidTr="007B5350">
        <w:trPr>
          <w:trHeight w:val="276"/>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0487C67" w14:textId="77777777" w:rsidR="007B5350" w:rsidRPr="007B5350" w:rsidRDefault="007B5350" w:rsidP="007B5350">
            <w:pPr>
              <w:spacing w:after="0" w:line="240" w:lineRule="auto"/>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SIGURNOSNO OBAVJEŠTAJNA AGENCIJA</w:t>
            </w:r>
          </w:p>
        </w:tc>
        <w:tc>
          <w:tcPr>
            <w:tcW w:w="1280" w:type="dxa"/>
            <w:tcBorders>
              <w:top w:val="nil"/>
              <w:left w:val="nil"/>
              <w:bottom w:val="single" w:sz="4" w:space="0" w:color="auto"/>
              <w:right w:val="single" w:sz="4" w:space="0" w:color="auto"/>
            </w:tcBorders>
            <w:shd w:val="clear" w:color="auto" w:fill="auto"/>
            <w:vAlign w:val="center"/>
            <w:hideMark/>
          </w:tcPr>
          <w:p w14:paraId="77D933FC"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3</w:t>
            </w:r>
          </w:p>
        </w:tc>
        <w:tc>
          <w:tcPr>
            <w:tcW w:w="1060" w:type="dxa"/>
            <w:tcBorders>
              <w:top w:val="nil"/>
              <w:left w:val="nil"/>
              <w:bottom w:val="single" w:sz="4" w:space="0" w:color="auto"/>
              <w:right w:val="single" w:sz="4" w:space="0" w:color="auto"/>
            </w:tcBorders>
            <w:shd w:val="clear" w:color="auto" w:fill="auto"/>
            <w:vAlign w:val="center"/>
            <w:hideMark/>
          </w:tcPr>
          <w:p w14:paraId="62AC5012"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5,08%</w:t>
            </w:r>
          </w:p>
        </w:tc>
        <w:tc>
          <w:tcPr>
            <w:tcW w:w="1280" w:type="dxa"/>
            <w:tcBorders>
              <w:top w:val="nil"/>
              <w:left w:val="nil"/>
              <w:bottom w:val="single" w:sz="4" w:space="0" w:color="auto"/>
              <w:right w:val="single" w:sz="4" w:space="0" w:color="auto"/>
            </w:tcBorders>
            <w:shd w:val="clear" w:color="auto" w:fill="auto"/>
            <w:noWrap/>
            <w:vAlign w:val="center"/>
            <w:hideMark/>
          </w:tcPr>
          <w:p w14:paraId="07889EA1"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1</w:t>
            </w:r>
          </w:p>
        </w:tc>
        <w:tc>
          <w:tcPr>
            <w:tcW w:w="1060" w:type="dxa"/>
            <w:tcBorders>
              <w:top w:val="nil"/>
              <w:left w:val="nil"/>
              <w:bottom w:val="single" w:sz="4" w:space="0" w:color="auto"/>
              <w:right w:val="single" w:sz="4" w:space="0" w:color="auto"/>
            </w:tcBorders>
            <w:shd w:val="clear" w:color="auto" w:fill="auto"/>
            <w:noWrap/>
            <w:vAlign w:val="center"/>
            <w:hideMark/>
          </w:tcPr>
          <w:p w14:paraId="1F3A4308"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1,18%</w:t>
            </w:r>
          </w:p>
        </w:tc>
      </w:tr>
      <w:tr w:rsidR="007B5350" w:rsidRPr="007B5350" w14:paraId="6682E35C" w14:textId="77777777" w:rsidTr="007B5350">
        <w:trPr>
          <w:trHeight w:val="276"/>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8E87795" w14:textId="77777777" w:rsidR="007B5350" w:rsidRPr="007B5350" w:rsidRDefault="007B5350" w:rsidP="007B5350">
            <w:pPr>
              <w:spacing w:after="0" w:line="240" w:lineRule="auto"/>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 xml:space="preserve">MINISTARSTVO OBRANE </w:t>
            </w:r>
          </w:p>
        </w:tc>
        <w:tc>
          <w:tcPr>
            <w:tcW w:w="1280" w:type="dxa"/>
            <w:tcBorders>
              <w:top w:val="nil"/>
              <w:left w:val="nil"/>
              <w:bottom w:val="single" w:sz="4" w:space="0" w:color="auto"/>
              <w:right w:val="single" w:sz="4" w:space="0" w:color="auto"/>
            </w:tcBorders>
            <w:shd w:val="clear" w:color="auto" w:fill="auto"/>
            <w:vAlign w:val="center"/>
            <w:hideMark/>
          </w:tcPr>
          <w:p w14:paraId="59403DF5"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 </w:t>
            </w:r>
          </w:p>
        </w:tc>
        <w:tc>
          <w:tcPr>
            <w:tcW w:w="1060" w:type="dxa"/>
            <w:tcBorders>
              <w:top w:val="nil"/>
              <w:left w:val="nil"/>
              <w:bottom w:val="single" w:sz="4" w:space="0" w:color="auto"/>
              <w:right w:val="single" w:sz="4" w:space="0" w:color="auto"/>
            </w:tcBorders>
            <w:shd w:val="clear" w:color="auto" w:fill="auto"/>
            <w:vAlign w:val="center"/>
            <w:hideMark/>
          </w:tcPr>
          <w:p w14:paraId="1095CE00"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E0CA25A"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1</w:t>
            </w:r>
          </w:p>
        </w:tc>
        <w:tc>
          <w:tcPr>
            <w:tcW w:w="1060" w:type="dxa"/>
            <w:tcBorders>
              <w:top w:val="nil"/>
              <w:left w:val="nil"/>
              <w:bottom w:val="single" w:sz="4" w:space="0" w:color="auto"/>
              <w:right w:val="single" w:sz="4" w:space="0" w:color="auto"/>
            </w:tcBorders>
            <w:shd w:val="clear" w:color="auto" w:fill="auto"/>
            <w:noWrap/>
            <w:vAlign w:val="center"/>
            <w:hideMark/>
          </w:tcPr>
          <w:p w14:paraId="25BD340F"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1,18%</w:t>
            </w:r>
          </w:p>
        </w:tc>
      </w:tr>
      <w:tr w:rsidR="007B5350" w:rsidRPr="007B5350" w14:paraId="51D30EE6" w14:textId="77777777" w:rsidTr="007B5350">
        <w:trPr>
          <w:trHeight w:val="276"/>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6593E4D" w14:textId="77777777" w:rsidR="007B5350" w:rsidRPr="007B5350" w:rsidRDefault="007B5350" w:rsidP="007B5350">
            <w:pPr>
              <w:spacing w:after="0" w:line="240" w:lineRule="auto"/>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HRVATSKA NARODNA BANKA</w:t>
            </w:r>
          </w:p>
        </w:tc>
        <w:tc>
          <w:tcPr>
            <w:tcW w:w="1280" w:type="dxa"/>
            <w:tcBorders>
              <w:top w:val="nil"/>
              <w:left w:val="nil"/>
              <w:bottom w:val="single" w:sz="4" w:space="0" w:color="auto"/>
              <w:right w:val="single" w:sz="4" w:space="0" w:color="auto"/>
            </w:tcBorders>
            <w:shd w:val="clear" w:color="auto" w:fill="auto"/>
            <w:vAlign w:val="center"/>
            <w:hideMark/>
          </w:tcPr>
          <w:p w14:paraId="68B7EFCE"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3</w:t>
            </w:r>
          </w:p>
        </w:tc>
        <w:tc>
          <w:tcPr>
            <w:tcW w:w="1060" w:type="dxa"/>
            <w:tcBorders>
              <w:top w:val="nil"/>
              <w:left w:val="nil"/>
              <w:bottom w:val="single" w:sz="4" w:space="0" w:color="auto"/>
              <w:right w:val="single" w:sz="4" w:space="0" w:color="auto"/>
            </w:tcBorders>
            <w:shd w:val="clear" w:color="auto" w:fill="auto"/>
            <w:vAlign w:val="center"/>
            <w:hideMark/>
          </w:tcPr>
          <w:p w14:paraId="737797E3"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5,08%</w:t>
            </w:r>
          </w:p>
        </w:tc>
        <w:tc>
          <w:tcPr>
            <w:tcW w:w="1280" w:type="dxa"/>
            <w:tcBorders>
              <w:top w:val="nil"/>
              <w:left w:val="nil"/>
              <w:bottom w:val="single" w:sz="4" w:space="0" w:color="auto"/>
              <w:right w:val="single" w:sz="4" w:space="0" w:color="auto"/>
            </w:tcBorders>
            <w:shd w:val="clear" w:color="auto" w:fill="auto"/>
            <w:noWrap/>
            <w:vAlign w:val="center"/>
            <w:hideMark/>
          </w:tcPr>
          <w:p w14:paraId="4E0AC870"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 </w:t>
            </w:r>
          </w:p>
        </w:tc>
        <w:tc>
          <w:tcPr>
            <w:tcW w:w="1060" w:type="dxa"/>
            <w:tcBorders>
              <w:top w:val="nil"/>
              <w:left w:val="nil"/>
              <w:bottom w:val="single" w:sz="4" w:space="0" w:color="auto"/>
              <w:right w:val="single" w:sz="4" w:space="0" w:color="auto"/>
            </w:tcBorders>
            <w:shd w:val="clear" w:color="auto" w:fill="auto"/>
            <w:noWrap/>
            <w:vAlign w:val="center"/>
            <w:hideMark/>
          </w:tcPr>
          <w:p w14:paraId="0EB85CF6"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 </w:t>
            </w:r>
          </w:p>
        </w:tc>
      </w:tr>
      <w:tr w:rsidR="007B5350" w:rsidRPr="007B5350" w14:paraId="719E1E90" w14:textId="77777777" w:rsidTr="007B5350">
        <w:trPr>
          <w:trHeight w:val="276"/>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8EF7CFA" w14:textId="77777777" w:rsidR="007B5350" w:rsidRPr="007B5350" w:rsidRDefault="007B5350" w:rsidP="007B5350">
            <w:pPr>
              <w:spacing w:after="0" w:line="240" w:lineRule="auto"/>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FINANCIJSKI INSPEKTORAT</w:t>
            </w:r>
          </w:p>
        </w:tc>
        <w:tc>
          <w:tcPr>
            <w:tcW w:w="1280" w:type="dxa"/>
            <w:tcBorders>
              <w:top w:val="nil"/>
              <w:left w:val="nil"/>
              <w:bottom w:val="single" w:sz="4" w:space="0" w:color="auto"/>
              <w:right w:val="single" w:sz="4" w:space="0" w:color="auto"/>
            </w:tcBorders>
            <w:shd w:val="clear" w:color="auto" w:fill="auto"/>
            <w:vAlign w:val="center"/>
            <w:hideMark/>
          </w:tcPr>
          <w:p w14:paraId="069A3A1F"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2</w:t>
            </w:r>
          </w:p>
        </w:tc>
        <w:tc>
          <w:tcPr>
            <w:tcW w:w="1060" w:type="dxa"/>
            <w:tcBorders>
              <w:top w:val="nil"/>
              <w:left w:val="nil"/>
              <w:bottom w:val="single" w:sz="4" w:space="0" w:color="auto"/>
              <w:right w:val="single" w:sz="4" w:space="0" w:color="auto"/>
            </w:tcBorders>
            <w:shd w:val="clear" w:color="auto" w:fill="auto"/>
            <w:vAlign w:val="center"/>
            <w:hideMark/>
          </w:tcPr>
          <w:p w14:paraId="65B46CAF"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3,39%</w:t>
            </w:r>
          </w:p>
        </w:tc>
        <w:tc>
          <w:tcPr>
            <w:tcW w:w="1280" w:type="dxa"/>
            <w:tcBorders>
              <w:top w:val="nil"/>
              <w:left w:val="nil"/>
              <w:bottom w:val="single" w:sz="4" w:space="0" w:color="auto"/>
              <w:right w:val="single" w:sz="4" w:space="0" w:color="auto"/>
            </w:tcBorders>
            <w:shd w:val="clear" w:color="auto" w:fill="auto"/>
            <w:noWrap/>
            <w:vAlign w:val="center"/>
            <w:hideMark/>
          </w:tcPr>
          <w:p w14:paraId="55BA62F8"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 </w:t>
            </w:r>
          </w:p>
        </w:tc>
        <w:tc>
          <w:tcPr>
            <w:tcW w:w="1060" w:type="dxa"/>
            <w:tcBorders>
              <w:top w:val="nil"/>
              <w:left w:val="nil"/>
              <w:bottom w:val="single" w:sz="4" w:space="0" w:color="auto"/>
              <w:right w:val="single" w:sz="4" w:space="0" w:color="auto"/>
            </w:tcBorders>
            <w:shd w:val="clear" w:color="auto" w:fill="auto"/>
            <w:noWrap/>
            <w:vAlign w:val="center"/>
            <w:hideMark/>
          </w:tcPr>
          <w:p w14:paraId="6A73A56C" w14:textId="77777777" w:rsidR="007B5350" w:rsidRPr="007B5350" w:rsidRDefault="007B5350" w:rsidP="007B5350">
            <w:pPr>
              <w:spacing w:after="0" w:line="240" w:lineRule="auto"/>
              <w:jc w:val="center"/>
              <w:rPr>
                <w:rFonts w:ascii="Times New Roman" w:eastAsia="Times New Roman" w:hAnsi="Times New Roman" w:cs="Times New Roman"/>
                <w:color w:val="000000"/>
                <w:sz w:val="20"/>
                <w:szCs w:val="20"/>
                <w:lang w:eastAsia="hr-HR"/>
              </w:rPr>
            </w:pPr>
            <w:r w:rsidRPr="007B5350">
              <w:rPr>
                <w:rFonts w:ascii="Times New Roman" w:eastAsia="Times New Roman" w:hAnsi="Times New Roman" w:cs="Times New Roman"/>
                <w:color w:val="000000"/>
                <w:sz w:val="20"/>
                <w:szCs w:val="20"/>
                <w:lang w:eastAsia="hr-HR"/>
              </w:rPr>
              <w:t> </w:t>
            </w:r>
          </w:p>
        </w:tc>
      </w:tr>
      <w:tr w:rsidR="007B5350" w:rsidRPr="007B5350" w14:paraId="5A6946B0" w14:textId="77777777" w:rsidTr="007B5350">
        <w:trPr>
          <w:trHeight w:val="276"/>
        </w:trPr>
        <w:tc>
          <w:tcPr>
            <w:tcW w:w="4180" w:type="dxa"/>
            <w:tcBorders>
              <w:top w:val="nil"/>
              <w:left w:val="single" w:sz="4" w:space="0" w:color="auto"/>
              <w:bottom w:val="single" w:sz="4" w:space="0" w:color="auto"/>
              <w:right w:val="single" w:sz="4" w:space="0" w:color="auto"/>
            </w:tcBorders>
            <w:shd w:val="clear" w:color="000000" w:fill="F2F2F2"/>
            <w:vAlign w:val="center"/>
            <w:hideMark/>
          </w:tcPr>
          <w:p w14:paraId="5A075D97" w14:textId="77777777" w:rsidR="007B5350" w:rsidRPr="007B5350" w:rsidRDefault="007B5350" w:rsidP="007B5350">
            <w:pPr>
              <w:spacing w:after="0" w:line="240" w:lineRule="auto"/>
              <w:rPr>
                <w:rFonts w:ascii="Times New Roman" w:eastAsia="Times New Roman" w:hAnsi="Times New Roman" w:cs="Times New Roman"/>
                <w:b/>
                <w:bCs/>
                <w:color w:val="000000"/>
                <w:sz w:val="20"/>
                <w:szCs w:val="20"/>
                <w:lang w:eastAsia="hr-HR"/>
              </w:rPr>
            </w:pPr>
            <w:r w:rsidRPr="007B5350">
              <w:rPr>
                <w:rFonts w:ascii="Times New Roman" w:eastAsia="Times New Roman" w:hAnsi="Times New Roman" w:cs="Times New Roman"/>
                <w:b/>
                <w:bCs/>
                <w:color w:val="000000"/>
                <w:sz w:val="20"/>
                <w:szCs w:val="20"/>
                <w:lang w:eastAsia="hr-HR"/>
              </w:rPr>
              <w:t>UKUPNO:</w:t>
            </w:r>
          </w:p>
        </w:tc>
        <w:tc>
          <w:tcPr>
            <w:tcW w:w="1280" w:type="dxa"/>
            <w:tcBorders>
              <w:top w:val="nil"/>
              <w:left w:val="nil"/>
              <w:bottom w:val="single" w:sz="4" w:space="0" w:color="auto"/>
              <w:right w:val="single" w:sz="4" w:space="0" w:color="auto"/>
            </w:tcBorders>
            <w:shd w:val="clear" w:color="000000" w:fill="F2F2F2"/>
            <w:vAlign w:val="center"/>
            <w:hideMark/>
          </w:tcPr>
          <w:p w14:paraId="679E5D9E" w14:textId="77777777" w:rsidR="007B5350" w:rsidRPr="007B5350" w:rsidRDefault="007B5350" w:rsidP="007B5350">
            <w:pPr>
              <w:spacing w:after="0" w:line="240" w:lineRule="auto"/>
              <w:jc w:val="center"/>
              <w:rPr>
                <w:rFonts w:ascii="Times New Roman" w:eastAsia="Times New Roman" w:hAnsi="Times New Roman" w:cs="Times New Roman"/>
                <w:b/>
                <w:bCs/>
                <w:color w:val="000000"/>
                <w:sz w:val="20"/>
                <w:szCs w:val="20"/>
                <w:lang w:eastAsia="hr-HR"/>
              </w:rPr>
            </w:pPr>
            <w:r w:rsidRPr="007B5350">
              <w:rPr>
                <w:rFonts w:ascii="Times New Roman" w:eastAsia="Times New Roman" w:hAnsi="Times New Roman" w:cs="Times New Roman"/>
                <w:b/>
                <w:bCs/>
                <w:color w:val="000000"/>
                <w:sz w:val="20"/>
                <w:szCs w:val="20"/>
                <w:lang w:eastAsia="hr-HR"/>
              </w:rPr>
              <w:t>59</w:t>
            </w:r>
          </w:p>
        </w:tc>
        <w:tc>
          <w:tcPr>
            <w:tcW w:w="1060" w:type="dxa"/>
            <w:tcBorders>
              <w:top w:val="nil"/>
              <w:left w:val="nil"/>
              <w:bottom w:val="single" w:sz="4" w:space="0" w:color="auto"/>
              <w:right w:val="single" w:sz="4" w:space="0" w:color="auto"/>
            </w:tcBorders>
            <w:shd w:val="clear" w:color="000000" w:fill="F2F2F2"/>
            <w:vAlign w:val="center"/>
            <w:hideMark/>
          </w:tcPr>
          <w:p w14:paraId="417A6897" w14:textId="77777777" w:rsidR="007B5350" w:rsidRPr="007B5350" w:rsidRDefault="007B5350" w:rsidP="007B5350">
            <w:pPr>
              <w:spacing w:after="0" w:line="240" w:lineRule="auto"/>
              <w:jc w:val="center"/>
              <w:rPr>
                <w:rFonts w:ascii="Times New Roman" w:eastAsia="Times New Roman" w:hAnsi="Times New Roman" w:cs="Times New Roman"/>
                <w:b/>
                <w:bCs/>
                <w:color w:val="000000"/>
                <w:sz w:val="20"/>
                <w:szCs w:val="20"/>
                <w:lang w:eastAsia="hr-HR"/>
              </w:rPr>
            </w:pPr>
            <w:r w:rsidRPr="007B5350">
              <w:rPr>
                <w:rFonts w:ascii="Times New Roman" w:eastAsia="Times New Roman" w:hAnsi="Times New Roman" w:cs="Times New Roman"/>
                <w:b/>
                <w:bCs/>
                <w:color w:val="000000"/>
                <w:sz w:val="20"/>
                <w:szCs w:val="20"/>
                <w:lang w:eastAsia="hr-HR"/>
              </w:rPr>
              <w:t>100,00%</w:t>
            </w:r>
          </w:p>
        </w:tc>
        <w:tc>
          <w:tcPr>
            <w:tcW w:w="1280" w:type="dxa"/>
            <w:tcBorders>
              <w:top w:val="nil"/>
              <w:left w:val="nil"/>
              <w:bottom w:val="single" w:sz="4" w:space="0" w:color="auto"/>
              <w:right w:val="single" w:sz="4" w:space="0" w:color="auto"/>
            </w:tcBorders>
            <w:shd w:val="clear" w:color="000000" w:fill="F2F2F2"/>
            <w:noWrap/>
            <w:vAlign w:val="center"/>
            <w:hideMark/>
          </w:tcPr>
          <w:p w14:paraId="100B3BCE" w14:textId="7B56FD6B" w:rsidR="007B5350" w:rsidRPr="007B5350" w:rsidRDefault="007B5350" w:rsidP="00DD675F">
            <w:pPr>
              <w:spacing w:after="0" w:line="240" w:lineRule="auto"/>
              <w:jc w:val="center"/>
              <w:rPr>
                <w:rFonts w:ascii="Times New Roman" w:eastAsia="Times New Roman" w:hAnsi="Times New Roman" w:cs="Times New Roman"/>
                <w:b/>
                <w:bCs/>
                <w:color w:val="000000"/>
                <w:sz w:val="20"/>
                <w:szCs w:val="20"/>
                <w:lang w:eastAsia="hr-HR"/>
              </w:rPr>
            </w:pPr>
            <w:r w:rsidRPr="007B5350">
              <w:rPr>
                <w:rFonts w:ascii="Times New Roman" w:eastAsia="Times New Roman" w:hAnsi="Times New Roman" w:cs="Times New Roman"/>
                <w:b/>
                <w:bCs/>
                <w:color w:val="000000"/>
                <w:sz w:val="20"/>
                <w:szCs w:val="20"/>
                <w:lang w:eastAsia="hr-HR"/>
              </w:rPr>
              <w:t> </w:t>
            </w:r>
            <w:r w:rsidR="00DD675F">
              <w:rPr>
                <w:rFonts w:ascii="Times New Roman" w:eastAsia="Times New Roman" w:hAnsi="Times New Roman" w:cs="Times New Roman"/>
                <w:b/>
                <w:bCs/>
                <w:color w:val="000000"/>
                <w:sz w:val="20"/>
                <w:szCs w:val="20"/>
                <w:lang w:eastAsia="hr-HR"/>
              </w:rPr>
              <w:t>85</w:t>
            </w:r>
          </w:p>
        </w:tc>
        <w:tc>
          <w:tcPr>
            <w:tcW w:w="1060" w:type="dxa"/>
            <w:tcBorders>
              <w:top w:val="nil"/>
              <w:left w:val="nil"/>
              <w:bottom w:val="single" w:sz="4" w:space="0" w:color="auto"/>
              <w:right w:val="single" w:sz="4" w:space="0" w:color="auto"/>
            </w:tcBorders>
            <w:shd w:val="clear" w:color="000000" w:fill="F2F2F2"/>
            <w:noWrap/>
            <w:vAlign w:val="center"/>
            <w:hideMark/>
          </w:tcPr>
          <w:p w14:paraId="1A02043D" w14:textId="77777777" w:rsidR="007B5350" w:rsidRPr="007B5350" w:rsidRDefault="007B5350" w:rsidP="007B5350">
            <w:pPr>
              <w:spacing w:after="0" w:line="240" w:lineRule="auto"/>
              <w:jc w:val="center"/>
              <w:rPr>
                <w:rFonts w:ascii="Times New Roman" w:eastAsia="Times New Roman" w:hAnsi="Times New Roman" w:cs="Times New Roman"/>
                <w:b/>
                <w:bCs/>
                <w:color w:val="000000"/>
                <w:sz w:val="20"/>
                <w:szCs w:val="20"/>
                <w:lang w:eastAsia="hr-HR"/>
              </w:rPr>
            </w:pPr>
            <w:r w:rsidRPr="007B5350">
              <w:rPr>
                <w:rFonts w:ascii="Times New Roman" w:eastAsia="Times New Roman" w:hAnsi="Times New Roman" w:cs="Times New Roman"/>
                <w:b/>
                <w:bCs/>
                <w:color w:val="000000"/>
                <w:sz w:val="20"/>
                <w:szCs w:val="20"/>
                <w:lang w:eastAsia="hr-HR"/>
              </w:rPr>
              <w:t>100,00%</w:t>
            </w:r>
          </w:p>
        </w:tc>
      </w:tr>
    </w:tbl>
    <w:p w14:paraId="3674F9DD" w14:textId="7145D245" w:rsidR="00375117" w:rsidRPr="00BD2F10" w:rsidRDefault="007B5350" w:rsidP="00D3669B">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fldChar w:fldCharType="end"/>
      </w:r>
    </w:p>
    <w:p w14:paraId="59B89548" w14:textId="61A34597" w:rsidR="00EA1FDD" w:rsidRPr="00BD2F10" w:rsidRDefault="00EA1FDD" w:rsidP="00BD2F10">
      <w:pPr>
        <w:spacing w:after="0"/>
        <w:jc w:val="both"/>
        <w:rPr>
          <w:rFonts w:ascii="Times New Roman" w:eastAsia="Calibri" w:hAnsi="Times New Roman" w:cs="Times New Roman"/>
          <w:sz w:val="24"/>
          <w:szCs w:val="24"/>
        </w:rPr>
      </w:pPr>
      <w:r w:rsidRPr="00BD2F10">
        <w:rPr>
          <w:rFonts w:ascii="Times New Roman" w:eastAsia="Times New Roman" w:hAnsi="Times New Roman" w:cs="Times New Roman"/>
          <w:sz w:val="24"/>
          <w:szCs w:val="24"/>
          <w:lang w:eastAsia="hr-HR"/>
        </w:rPr>
        <w:t xml:space="preserve">Tablica </w:t>
      </w:r>
      <w:r w:rsidR="005323C8" w:rsidRPr="00BD2F10">
        <w:rPr>
          <w:rFonts w:ascii="Times New Roman" w:eastAsia="Times New Roman" w:hAnsi="Times New Roman" w:cs="Times New Roman"/>
          <w:sz w:val="24"/>
          <w:szCs w:val="24"/>
          <w:lang w:eastAsia="hr-HR"/>
        </w:rPr>
        <w:t xml:space="preserve">6. </w:t>
      </w:r>
      <w:r w:rsidR="00D3669B" w:rsidRPr="00BD2F10">
        <w:rPr>
          <w:rFonts w:ascii="Times New Roman" w:eastAsia="Times New Roman" w:hAnsi="Times New Roman" w:cs="Times New Roman"/>
          <w:sz w:val="24"/>
          <w:szCs w:val="24"/>
          <w:lang w:eastAsia="hr-HR"/>
        </w:rPr>
        <w:t xml:space="preserve">Pisani </w:t>
      </w:r>
      <w:r w:rsidR="00D3669B" w:rsidRPr="00BD2F10">
        <w:rPr>
          <w:rFonts w:ascii="Times New Roman" w:eastAsia="Calibri" w:hAnsi="Times New Roman" w:cs="Times New Roman"/>
          <w:sz w:val="24"/>
          <w:szCs w:val="24"/>
        </w:rPr>
        <w:t xml:space="preserve">prijedlozi za analitičkom obradom zaprimljeni od </w:t>
      </w:r>
      <w:r w:rsidR="008C5D12">
        <w:rPr>
          <w:rFonts w:ascii="Times New Roman" w:eastAsia="Calibri" w:hAnsi="Times New Roman" w:cs="Times New Roman"/>
          <w:sz w:val="24"/>
          <w:szCs w:val="24"/>
        </w:rPr>
        <w:t>nadležnih</w:t>
      </w:r>
      <w:r w:rsidRPr="00BD2F10">
        <w:rPr>
          <w:rFonts w:ascii="Times New Roman" w:eastAsia="Calibri" w:hAnsi="Times New Roman" w:cs="Times New Roman"/>
          <w:sz w:val="24"/>
          <w:szCs w:val="24"/>
        </w:rPr>
        <w:t xml:space="preserve"> tijela </w:t>
      </w:r>
      <w:r w:rsidR="003E4AB8" w:rsidRPr="00BD2F10">
        <w:rPr>
          <w:rFonts w:ascii="Times New Roman" w:eastAsia="Calibri" w:hAnsi="Times New Roman" w:cs="Times New Roman"/>
          <w:sz w:val="24"/>
          <w:szCs w:val="24"/>
        </w:rPr>
        <w:t>u</w:t>
      </w:r>
      <w:r w:rsidR="008C5D12">
        <w:rPr>
          <w:rFonts w:ascii="Times New Roman" w:eastAsia="Calibri" w:hAnsi="Times New Roman" w:cs="Times New Roman"/>
          <w:sz w:val="24"/>
          <w:szCs w:val="24"/>
        </w:rPr>
        <w:t xml:space="preserve"> 2021. i</w:t>
      </w:r>
      <w:r w:rsidR="003E4AB8" w:rsidRPr="00BD2F10">
        <w:rPr>
          <w:rFonts w:ascii="Times New Roman" w:eastAsia="Calibri" w:hAnsi="Times New Roman" w:cs="Times New Roman"/>
          <w:sz w:val="24"/>
          <w:szCs w:val="24"/>
        </w:rPr>
        <w:t xml:space="preserve"> 2022.</w:t>
      </w:r>
    </w:p>
    <w:p w14:paraId="2DD6C056" w14:textId="2DB40D9F" w:rsidR="00EA1FDD" w:rsidRDefault="00070753" w:rsidP="00EA1FDD">
      <w:pPr>
        <w:spacing w:after="0" w:line="240" w:lineRule="auto"/>
        <w:jc w:val="both"/>
        <w:rPr>
          <w:rFonts w:ascii="Times New Roman" w:eastAsia="Times New Roman" w:hAnsi="Times New Roman" w:cs="Times New Roman"/>
          <w:sz w:val="24"/>
          <w:szCs w:val="24"/>
          <w:lang w:eastAsia="hr-HR"/>
        </w:rPr>
      </w:pPr>
      <w:r w:rsidRPr="00070753">
        <w:rPr>
          <w:noProof/>
          <w:lang w:eastAsia="hr-HR"/>
        </w:rPr>
        <w:drawing>
          <wp:inline distT="0" distB="0" distL="0" distR="0" wp14:anchorId="6FDDF660" wp14:editId="5BCE2FAA">
            <wp:extent cx="5731510" cy="3069685"/>
            <wp:effectExtent l="0" t="0" r="254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069685"/>
                    </a:xfrm>
                    <a:prstGeom prst="rect">
                      <a:avLst/>
                    </a:prstGeom>
                    <a:noFill/>
                    <a:ln>
                      <a:noFill/>
                    </a:ln>
                  </pic:spPr>
                </pic:pic>
              </a:graphicData>
            </a:graphic>
          </wp:inline>
        </w:drawing>
      </w:r>
    </w:p>
    <w:p w14:paraId="451C5A82" w14:textId="77777777" w:rsidR="00070753" w:rsidRDefault="00070753" w:rsidP="003E4AB8">
      <w:pPr>
        <w:spacing w:after="0" w:line="240" w:lineRule="auto"/>
        <w:jc w:val="both"/>
        <w:rPr>
          <w:rFonts w:ascii="Times New Roman" w:eastAsia="Times New Roman" w:hAnsi="Times New Roman" w:cs="Times New Roman"/>
          <w:sz w:val="24"/>
          <w:szCs w:val="24"/>
          <w:lang w:eastAsia="hr-HR"/>
        </w:rPr>
      </w:pPr>
    </w:p>
    <w:p w14:paraId="0EC04136" w14:textId="1872988B" w:rsidR="00C8209B" w:rsidRDefault="00EA1FDD" w:rsidP="003E4AB8">
      <w:pPr>
        <w:spacing w:after="0" w:line="240" w:lineRule="auto"/>
        <w:jc w:val="both"/>
        <w:rPr>
          <w:rFonts w:ascii="Times New Roman" w:eastAsia="Times New Roman" w:hAnsi="Times New Roman" w:cs="Times New Roman"/>
          <w:sz w:val="24"/>
          <w:szCs w:val="24"/>
          <w:lang w:eastAsia="hr-HR"/>
        </w:rPr>
      </w:pPr>
      <w:r w:rsidRPr="00ED7B4C">
        <w:rPr>
          <w:rFonts w:ascii="Times New Roman" w:eastAsia="Times New Roman" w:hAnsi="Times New Roman" w:cs="Times New Roman"/>
          <w:sz w:val="24"/>
          <w:szCs w:val="24"/>
          <w:lang w:eastAsia="hr-HR"/>
        </w:rPr>
        <w:t xml:space="preserve">Vezano </w:t>
      </w:r>
      <w:r w:rsidR="00E205F1">
        <w:rPr>
          <w:rFonts w:ascii="Times New Roman" w:eastAsia="Times New Roman" w:hAnsi="Times New Roman" w:cs="Times New Roman"/>
          <w:sz w:val="24"/>
          <w:szCs w:val="24"/>
          <w:lang w:eastAsia="hr-HR"/>
        </w:rPr>
        <w:t xml:space="preserve">uz </w:t>
      </w:r>
      <w:r w:rsidRPr="00ED7B4C">
        <w:rPr>
          <w:rFonts w:ascii="Times New Roman" w:eastAsia="Times New Roman" w:hAnsi="Times New Roman" w:cs="Times New Roman"/>
          <w:sz w:val="24"/>
          <w:szCs w:val="24"/>
          <w:lang w:eastAsia="hr-HR"/>
        </w:rPr>
        <w:t xml:space="preserve">pisane prijedloge za analitičku obradu zaprimljene od </w:t>
      </w:r>
      <w:r w:rsidR="00A12957">
        <w:rPr>
          <w:rFonts w:ascii="Times New Roman" w:eastAsia="Times New Roman" w:hAnsi="Times New Roman" w:cs="Times New Roman"/>
          <w:sz w:val="24"/>
          <w:szCs w:val="24"/>
          <w:lang w:eastAsia="hr-HR"/>
        </w:rPr>
        <w:t>nadležnih</w:t>
      </w:r>
      <w:r w:rsidRPr="00ED7B4C">
        <w:rPr>
          <w:rFonts w:ascii="Times New Roman" w:eastAsia="Times New Roman" w:hAnsi="Times New Roman" w:cs="Times New Roman"/>
          <w:sz w:val="24"/>
          <w:szCs w:val="24"/>
          <w:lang w:eastAsia="hr-HR"/>
        </w:rPr>
        <w:t xml:space="preserve"> tijela u 2022. Ured je </w:t>
      </w:r>
      <w:r w:rsidR="00CE631B">
        <w:rPr>
          <w:rFonts w:ascii="Times New Roman" w:eastAsia="Times New Roman" w:hAnsi="Times New Roman" w:cs="Times New Roman"/>
          <w:sz w:val="24"/>
          <w:szCs w:val="24"/>
          <w:lang w:eastAsia="hr-HR"/>
        </w:rPr>
        <w:t xml:space="preserve">na </w:t>
      </w:r>
      <w:r w:rsidRPr="00ED7B4C">
        <w:rPr>
          <w:rFonts w:ascii="Times New Roman" w:eastAsia="Times New Roman" w:hAnsi="Times New Roman" w:cs="Times New Roman"/>
          <w:sz w:val="24"/>
          <w:szCs w:val="24"/>
          <w:lang w:eastAsia="hr-HR"/>
        </w:rPr>
        <w:t>temelj</w:t>
      </w:r>
      <w:r w:rsidR="00CE631B">
        <w:rPr>
          <w:rFonts w:ascii="Times New Roman" w:eastAsia="Times New Roman" w:hAnsi="Times New Roman" w:cs="Times New Roman"/>
          <w:sz w:val="24"/>
          <w:szCs w:val="24"/>
          <w:lang w:eastAsia="hr-HR"/>
        </w:rPr>
        <w:t>u</w:t>
      </w:r>
      <w:r w:rsidRPr="00ED7B4C">
        <w:rPr>
          <w:rFonts w:ascii="Times New Roman" w:eastAsia="Times New Roman" w:hAnsi="Times New Roman" w:cs="Times New Roman"/>
          <w:sz w:val="24"/>
          <w:szCs w:val="24"/>
          <w:lang w:eastAsia="hr-HR"/>
        </w:rPr>
        <w:t xml:space="preserve"> 8</w:t>
      </w:r>
      <w:r w:rsidR="00C8209B">
        <w:rPr>
          <w:rFonts w:ascii="Times New Roman" w:eastAsia="Times New Roman" w:hAnsi="Times New Roman" w:cs="Times New Roman"/>
          <w:sz w:val="24"/>
          <w:szCs w:val="24"/>
          <w:lang w:eastAsia="hr-HR"/>
        </w:rPr>
        <w:t>5</w:t>
      </w:r>
      <w:r w:rsidRPr="00ED7B4C">
        <w:rPr>
          <w:rFonts w:ascii="Times New Roman" w:eastAsia="Times New Roman" w:hAnsi="Times New Roman" w:cs="Times New Roman"/>
          <w:sz w:val="24"/>
          <w:szCs w:val="24"/>
          <w:lang w:eastAsia="hr-HR"/>
        </w:rPr>
        <w:t xml:space="preserve"> prijedloga (4</w:t>
      </w:r>
      <w:r w:rsidR="00C8209B">
        <w:rPr>
          <w:rFonts w:ascii="Times New Roman" w:eastAsia="Times New Roman" w:hAnsi="Times New Roman" w:cs="Times New Roman"/>
          <w:sz w:val="24"/>
          <w:szCs w:val="24"/>
          <w:lang w:eastAsia="hr-HR"/>
        </w:rPr>
        <w:t>4</w:t>
      </w:r>
      <w:r w:rsidRPr="00ED7B4C">
        <w:rPr>
          <w:rFonts w:ascii="Times New Roman" w:eastAsia="Times New Roman" w:hAnsi="Times New Roman" w:cs="Times New Roman"/>
          <w:sz w:val="24"/>
          <w:szCs w:val="24"/>
          <w:lang w:eastAsia="hr-HR"/>
        </w:rPr>
        <w:t>,</w:t>
      </w:r>
      <w:r w:rsidR="00C8209B">
        <w:rPr>
          <w:rFonts w:ascii="Times New Roman" w:eastAsia="Times New Roman" w:hAnsi="Times New Roman" w:cs="Times New Roman"/>
          <w:sz w:val="24"/>
          <w:szCs w:val="24"/>
          <w:lang w:eastAsia="hr-HR"/>
        </w:rPr>
        <w:t>97</w:t>
      </w:r>
      <w:r w:rsidRPr="00ED7B4C">
        <w:rPr>
          <w:rFonts w:ascii="Times New Roman" w:eastAsia="Times New Roman" w:hAnsi="Times New Roman" w:cs="Times New Roman"/>
          <w:sz w:val="24"/>
          <w:szCs w:val="24"/>
          <w:lang w:eastAsia="hr-HR"/>
        </w:rPr>
        <w:t xml:space="preserve"> % od ukupnog broja zaprimljenih prijedloga) započeo nove analitičke obrade ( otvoreni su novi predmeti) dok je preostalih 1</w:t>
      </w:r>
      <w:r>
        <w:rPr>
          <w:rFonts w:ascii="Times New Roman" w:eastAsia="Times New Roman" w:hAnsi="Times New Roman" w:cs="Times New Roman"/>
          <w:sz w:val="24"/>
          <w:szCs w:val="24"/>
          <w:lang w:eastAsia="hr-HR"/>
        </w:rPr>
        <w:t>0</w:t>
      </w:r>
      <w:r w:rsidR="00C8209B">
        <w:rPr>
          <w:rFonts w:ascii="Times New Roman" w:eastAsia="Times New Roman" w:hAnsi="Times New Roman" w:cs="Times New Roman"/>
          <w:sz w:val="24"/>
          <w:szCs w:val="24"/>
          <w:lang w:eastAsia="hr-HR"/>
        </w:rPr>
        <w:t>4</w:t>
      </w:r>
      <w:r w:rsidRPr="00ED7B4C">
        <w:rPr>
          <w:rFonts w:ascii="Times New Roman" w:eastAsia="Times New Roman" w:hAnsi="Times New Roman" w:cs="Times New Roman"/>
          <w:sz w:val="24"/>
          <w:szCs w:val="24"/>
          <w:lang w:eastAsia="hr-HR"/>
        </w:rPr>
        <w:t xml:space="preserve"> prijedloga (5</w:t>
      </w:r>
      <w:r w:rsidR="00C8209B">
        <w:rPr>
          <w:rFonts w:ascii="Times New Roman" w:eastAsia="Times New Roman" w:hAnsi="Times New Roman" w:cs="Times New Roman"/>
          <w:sz w:val="24"/>
          <w:szCs w:val="24"/>
          <w:lang w:eastAsia="hr-HR"/>
        </w:rPr>
        <w:t>5</w:t>
      </w:r>
      <w:r w:rsidRPr="00ED7B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0</w:t>
      </w:r>
      <w:r w:rsidR="00C8209B">
        <w:rPr>
          <w:rFonts w:ascii="Times New Roman" w:eastAsia="Times New Roman" w:hAnsi="Times New Roman" w:cs="Times New Roman"/>
          <w:sz w:val="24"/>
          <w:szCs w:val="24"/>
          <w:lang w:eastAsia="hr-HR"/>
        </w:rPr>
        <w:t>3</w:t>
      </w:r>
      <w:r w:rsidRPr="00ED7B4C">
        <w:rPr>
          <w:rFonts w:ascii="Times New Roman" w:eastAsia="Times New Roman" w:hAnsi="Times New Roman" w:cs="Times New Roman"/>
          <w:sz w:val="24"/>
          <w:szCs w:val="24"/>
          <w:lang w:eastAsia="hr-HR"/>
        </w:rPr>
        <w:t xml:space="preserve"> % od ukupnog broja zaprimljenih) pripojeno već o</w:t>
      </w:r>
      <w:r w:rsidR="003E4AB8">
        <w:rPr>
          <w:rFonts w:ascii="Times New Roman" w:eastAsia="Times New Roman" w:hAnsi="Times New Roman" w:cs="Times New Roman"/>
          <w:sz w:val="24"/>
          <w:szCs w:val="24"/>
          <w:lang w:eastAsia="hr-HR"/>
        </w:rPr>
        <w:t>tvorenim analitičkim predmetima</w:t>
      </w:r>
      <w:r w:rsidR="00C8209B">
        <w:rPr>
          <w:rFonts w:ascii="Times New Roman" w:eastAsia="Times New Roman" w:hAnsi="Times New Roman" w:cs="Times New Roman"/>
          <w:sz w:val="24"/>
          <w:szCs w:val="24"/>
          <w:lang w:eastAsia="hr-HR"/>
        </w:rPr>
        <w:t xml:space="preserve"> i to:</w:t>
      </w:r>
    </w:p>
    <w:p w14:paraId="00925E22" w14:textId="77777777" w:rsidR="00EA1FDD" w:rsidRPr="008121A2" w:rsidRDefault="00EA1FDD" w:rsidP="00C8209B">
      <w:pPr>
        <w:spacing w:after="0" w:line="240" w:lineRule="auto"/>
        <w:jc w:val="both"/>
        <w:rPr>
          <w:rFonts w:ascii="Times New Roman" w:eastAsia="Times New Roman" w:hAnsi="Times New Roman" w:cs="Times New Roman"/>
          <w:sz w:val="24"/>
          <w:szCs w:val="24"/>
          <w:lang w:eastAsia="hr-HR"/>
        </w:rPr>
      </w:pPr>
    </w:p>
    <w:p w14:paraId="0A31E398" w14:textId="405564A1" w:rsidR="00EA1FDD" w:rsidRPr="00CF4B6B" w:rsidRDefault="00EA1FDD" w:rsidP="00BD4933">
      <w:pPr>
        <w:pStyle w:val="Odlomakpopisa"/>
        <w:numPr>
          <w:ilvl w:val="0"/>
          <w:numId w:val="18"/>
        </w:numPr>
        <w:jc w:val="both"/>
        <w:rPr>
          <w:rFonts w:ascii="Times New Roman" w:eastAsia="Times New Roman" w:hAnsi="Times New Roman"/>
          <w:b w:val="0"/>
          <w:bCs/>
          <w:iCs/>
          <w:sz w:val="24"/>
          <w:szCs w:val="24"/>
          <w:lang w:eastAsia="hr-HR"/>
        </w:rPr>
      </w:pPr>
      <w:r w:rsidRPr="00CF4B6B">
        <w:rPr>
          <w:rFonts w:ascii="Times New Roman" w:eastAsia="Times New Roman" w:hAnsi="Times New Roman"/>
          <w:b w:val="0"/>
          <w:bCs/>
          <w:iCs/>
          <w:sz w:val="24"/>
          <w:szCs w:val="24"/>
          <w:lang w:eastAsia="hr-HR"/>
        </w:rPr>
        <w:t>7</w:t>
      </w:r>
      <w:r w:rsidR="00C8209B" w:rsidRPr="00CF4B6B">
        <w:rPr>
          <w:rFonts w:ascii="Times New Roman" w:eastAsia="Times New Roman" w:hAnsi="Times New Roman"/>
          <w:b w:val="0"/>
          <w:bCs/>
          <w:iCs/>
          <w:sz w:val="24"/>
          <w:szCs w:val="24"/>
          <w:lang w:eastAsia="hr-HR"/>
        </w:rPr>
        <w:t>7</w:t>
      </w:r>
      <w:r w:rsidRPr="00CF4B6B">
        <w:rPr>
          <w:rFonts w:ascii="Times New Roman" w:eastAsia="Times New Roman" w:hAnsi="Times New Roman"/>
          <w:b w:val="0"/>
          <w:bCs/>
          <w:iCs/>
          <w:sz w:val="24"/>
          <w:szCs w:val="24"/>
          <w:lang w:eastAsia="hr-HR"/>
        </w:rPr>
        <w:t xml:space="preserve"> (4</w:t>
      </w:r>
      <w:r w:rsidR="00C8209B" w:rsidRPr="00CF4B6B">
        <w:rPr>
          <w:rFonts w:ascii="Times New Roman" w:eastAsia="Times New Roman" w:hAnsi="Times New Roman"/>
          <w:b w:val="0"/>
          <w:bCs/>
          <w:iCs/>
          <w:sz w:val="24"/>
          <w:szCs w:val="24"/>
          <w:lang w:eastAsia="hr-HR"/>
        </w:rPr>
        <w:t>0</w:t>
      </w:r>
      <w:r w:rsidRPr="00CF4B6B">
        <w:rPr>
          <w:rFonts w:ascii="Times New Roman" w:eastAsia="Times New Roman" w:hAnsi="Times New Roman"/>
          <w:b w:val="0"/>
          <w:bCs/>
          <w:iCs/>
          <w:sz w:val="24"/>
          <w:szCs w:val="24"/>
          <w:lang w:eastAsia="hr-HR"/>
        </w:rPr>
        <w:t>,</w:t>
      </w:r>
      <w:r w:rsidR="00C8209B" w:rsidRPr="00CF4B6B">
        <w:rPr>
          <w:rFonts w:ascii="Times New Roman" w:eastAsia="Times New Roman" w:hAnsi="Times New Roman"/>
          <w:b w:val="0"/>
          <w:bCs/>
          <w:iCs/>
          <w:sz w:val="24"/>
          <w:szCs w:val="24"/>
          <w:lang w:eastAsia="hr-HR"/>
        </w:rPr>
        <w:t>74</w:t>
      </w:r>
      <w:r w:rsidRPr="00CF4B6B">
        <w:rPr>
          <w:rFonts w:ascii="Times New Roman" w:eastAsia="Times New Roman" w:hAnsi="Times New Roman"/>
          <w:b w:val="0"/>
          <w:bCs/>
          <w:iCs/>
          <w:sz w:val="24"/>
          <w:szCs w:val="24"/>
          <w:lang w:eastAsia="hr-HR"/>
        </w:rPr>
        <w:t xml:space="preserve"> %) prijedloga za analitičku obradu zaprimljena od državnih tijela je pripojeno analitič</w:t>
      </w:r>
      <w:r w:rsidR="00CF4B6B">
        <w:rPr>
          <w:rFonts w:ascii="Times New Roman" w:eastAsia="Times New Roman" w:hAnsi="Times New Roman"/>
          <w:b w:val="0"/>
          <w:bCs/>
          <w:iCs/>
          <w:sz w:val="24"/>
          <w:szCs w:val="24"/>
          <w:lang w:eastAsia="hr-HR"/>
        </w:rPr>
        <w:t>k</w:t>
      </w:r>
      <w:r w:rsidR="00E205F1">
        <w:rPr>
          <w:rFonts w:ascii="Times New Roman" w:eastAsia="Times New Roman" w:hAnsi="Times New Roman"/>
          <w:b w:val="0"/>
          <w:bCs/>
          <w:iCs/>
          <w:sz w:val="24"/>
          <w:szCs w:val="24"/>
          <w:lang w:eastAsia="hr-HR"/>
        </w:rPr>
        <w:t>im predmetima otvorenim u 2022.</w:t>
      </w:r>
    </w:p>
    <w:p w14:paraId="36F4FC43" w14:textId="22B6F112" w:rsidR="00EA1FDD" w:rsidRPr="00CF4B6B" w:rsidRDefault="00EA1FDD" w:rsidP="00BD4933">
      <w:pPr>
        <w:pStyle w:val="Odlomakpopisa"/>
        <w:numPr>
          <w:ilvl w:val="0"/>
          <w:numId w:val="18"/>
        </w:numPr>
        <w:jc w:val="both"/>
        <w:rPr>
          <w:rFonts w:ascii="Times New Roman" w:eastAsia="Times New Roman" w:hAnsi="Times New Roman"/>
          <w:b w:val="0"/>
          <w:bCs/>
          <w:iCs/>
          <w:sz w:val="24"/>
          <w:szCs w:val="24"/>
          <w:lang w:eastAsia="hr-HR"/>
        </w:rPr>
      </w:pPr>
      <w:r w:rsidRPr="00CF4B6B">
        <w:rPr>
          <w:rFonts w:ascii="Times New Roman" w:eastAsia="Times New Roman" w:hAnsi="Times New Roman"/>
          <w:b w:val="0"/>
          <w:bCs/>
          <w:iCs/>
          <w:sz w:val="24"/>
          <w:szCs w:val="24"/>
          <w:lang w:eastAsia="hr-HR"/>
        </w:rPr>
        <w:t>27 (14,29%) prijedloga za analitičku obradu zaprimljena od državnih tijela je pripojeno analitičkim predmetima otvorenim u 2021. i ranijim godinama</w:t>
      </w:r>
      <w:r w:rsidR="00CF4B6B">
        <w:rPr>
          <w:rFonts w:ascii="Times New Roman" w:eastAsia="Times New Roman" w:hAnsi="Times New Roman"/>
          <w:b w:val="0"/>
          <w:bCs/>
          <w:iCs/>
          <w:sz w:val="24"/>
          <w:szCs w:val="24"/>
          <w:lang w:eastAsia="hr-HR"/>
        </w:rPr>
        <w:t>.</w:t>
      </w:r>
    </w:p>
    <w:p w14:paraId="6F7E649A" w14:textId="77777777" w:rsidR="00EA1FDD" w:rsidRDefault="00EA1FDD" w:rsidP="004665E0">
      <w:pPr>
        <w:spacing w:after="0" w:line="240" w:lineRule="auto"/>
        <w:jc w:val="both"/>
        <w:rPr>
          <w:rFonts w:ascii="Times New Roman" w:eastAsia="Calibri" w:hAnsi="Times New Roman" w:cs="Times New Roman"/>
          <w:b/>
          <w:iCs/>
          <w:sz w:val="24"/>
          <w:szCs w:val="24"/>
          <w:lang w:eastAsia="hr-HR"/>
        </w:rPr>
      </w:pPr>
    </w:p>
    <w:p w14:paraId="5EE64A66" w14:textId="77777777" w:rsidR="003E4AB8" w:rsidRPr="004665E0" w:rsidRDefault="003E4AB8" w:rsidP="003E4AB8">
      <w:pPr>
        <w:spacing w:after="0" w:line="240" w:lineRule="auto"/>
        <w:jc w:val="both"/>
        <w:rPr>
          <w:rFonts w:ascii="Times New Roman" w:eastAsia="Calibri" w:hAnsi="Times New Roman" w:cs="Times New Roman"/>
          <w:bCs/>
          <w:sz w:val="24"/>
          <w:szCs w:val="24"/>
        </w:rPr>
      </w:pPr>
      <w:r w:rsidRPr="004665E0">
        <w:rPr>
          <w:rFonts w:ascii="Times New Roman" w:eastAsia="Calibri" w:hAnsi="Times New Roman" w:cs="Times New Roman"/>
          <w:bCs/>
          <w:sz w:val="24"/>
          <w:szCs w:val="24"/>
        </w:rPr>
        <w:lastRenderedPageBreak/>
        <w:t xml:space="preserve">Na operativnoj razini međuinstitucionalna suradnja Ureda i drugih nadležnih državnih tijela (prije svega policije, državnog odvjetništva, USKOK-a, SOA-e) očituje se kroz "ad hoc" radne sastanke, koordinacijske kontakte te dnevnu korespondenciju na dvije operativne razine: pribavljanje i razmjena potrebnih ili raspoloživih podataka s jedne strane te iniciranje ili dostavljanje rezultata analitičko-obavještajne obrade nadležnim tijelima, s druge strane. </w:t>
      </w:r>
    </w:p>
    <w:p w14:paraId="43C11EF8" w14:textId="0CE06835" w:rsidR="00A94785" w:rsidRDefault="00A94785" w:rsidP="00714497">
      <w:pPr>
        <w:spacing w:after="0" w:line="240" w:lineRule="auto"/>
        <w:jc w:val="both"/>
        <w:rPr>
          <w:rFonts w:ascii="Times New Roman" w:eastAsia="Calibri" w:hAnsi="Times New Roman" w:cs="Times New Roman"/>
          <w:b/>
          <w:sz w:val="24"/>
          <w:szCs w:val="24"/>
        </w:rPr>
      </w:pPr>
    </w:p>
    <w:p w14:paraId="180A6850" w14:textId="77777777" w:rsidR="00CF4B6B" w:rsidRDefault="00CF4B6B" w:rsidP="00714497">
      <w:pPr>
        <w:spacing w:after="0" w:line="240" w:lineRule="auto"/>
        <w:jc w:val="both"/>
        <w:rPr>
          <w:rFonts w:ascii="Times New Roman" w:eastAsia="Calibri" w:hAnsi="Times New Roman" w:cs="Times New Roman"/>
          <w:b/>
          <w:sz w:val="24"/>
          <w:szCs w:val="24"/>
        </w:rPr>
      </w:pPr>
    </w:p>
    <w:p w14:paraId="0F543D85" w14:textId="1A4E7AA7" w:rsidR="004665E0" w:rsidRPr="004665E0" w:rsidRDefault="00152EC9" w:rsidP="00E37C2F">
      <w:pPr>
        <w:pStyle w:val="Naslov3"/>
        <w:spacing w:after="0" w:line="240" w:lineRule="auto"/>
      </w:pPr>
      <w:bookmarkStart w:id="13" w:name="_Toc153353420"/>
      <w:r>
        <w:t>2.2.</w:t>
      </w:r>
      <w:r>
        <w:tab/>
      </w:r>
      <w:r w:rsidR="00CF4B6B">
        <w:t>Međunarodna suradnja Ureda</w:t>
      </w:r>
      <w:bookmarkEnd w:id="13"/>
    </w:p>
    <w:p w14:paraId="0B188695" w14:textId="77777777" w:rsidR="00CF4B6B" w:rsidRDefault="00CF4B6B" w:rsidP="00E37C2F">
      <w:pPr>
        <w:tabs>
          <w:tab w:val="left" w:pos="850"/>
          <w:tab w:val="left" w:pos="1191"/>
          <w:tab w:val="left" w:pos="1531"/>
        </w:tabs>
        <w:spacing w:after="0" w:line="240" w:lineRule="auto"/>
        <w:jc w:val="both"/>
        <w:rPr>
          <w:rFonts w:ascii="Times New Roman" w:eastAsia="SimSun" w:hAnsi="Times New Roman" w:cs="Times New Roman"/>
          <w:sz w:val="24"/>
          <w:szCs w:val="24"/>
        </w:rPr>
      </w:pPr>
    </w:p>
    <w:p w14:paraId="2DC8BDAE" w14:textId="3CEF0644" w:rsidR="004665E0" w:rsidRPr="004665E0" w:rsidRDefault="004665E0" w:rsidP="004665E0">
      <w:pPr>
        <w:tabs>
          <w:tab w:val="left" w:pos="850"/>
          <w:tab w:val="left" w:pos="1191"/>
          <w:tab w:val="left" w:pos="1531"/>
        </w:tabs>
        <w:spacing w:before="60" w:after="0" w:line="240" w:lineRule="auto"/>
        <w:jc w:val="both"/>
        <w:rPr>
          <w:rFonts w:ascii="Times New Roman" w:eastAsia="Calibri" w:hAnsi="Times New Roman" w:cs="Times New Roman"/>
          <w:bCs/>
          <w:sz w:val="24"/>
          <w:szCs w:val="24"/>
        </w:rPr>
      </w:pPr>
      <w:r w:rsidRPr="004665E0">
        <w:rPr>
          <w:rFonts w:ascii="Times New Roman" w:eastAsia="SimSun" w:hAnsi="Times New Roman" w:cs="Times New Roman"/>
          <w:sz w:val="24"/>
          <w:szCs w:val="24"/>
        </w:rPr>
        <w:t xml:space="preserve">Međunarodna suradnja Ureda odnosi se na suradnju između Ureda i inozemnih financijsko obavještajnih jedinica vezano </w:t>
      </w:r>
      <w:r w:rsidR="00CE631B">
        <w:rPr>
          <w:rFonts w:ascii="Times New Roman" w:eastAsia="SimSun" w:hAnsi="Times New Roman" w:cs="Times New Roman"/>
          <w:sz w:val="24"/>
          <w:szCs w:val="24"/>
        </w:rPr>
        <w:t>uz</w:t>
      </w:r>
      <w:r w:rsidRPr="004665E0">
        <w:rPr>
          <w:rFonts w:ascii="Times New Roman" w:eastAsia="SimSun" w:hAnsi="Times New Roman" w:cs="Times New Roman"/>
          <w:sz w:val="24"/>
          <w:szCs w:val="24"/>
        </w:rPr>
        <w:t xml:space="preserve"> razmjenu relevantnih podataka, informacija i dokumentacije, a u svrhu sprječavanja </w:t>
      </w:r>
      <w:r w:rsidRPr="004665E0">
        <w:rPr>
          <w:rFonts w:ascii="Times New Roman" w:eastAsia="Calibri" w:hAnsi="Times New Roman" w:cs="Times New Roman"/>
          <w:sz w:val="24"/>
          <w:szCs w:val="24"/>
        </w:rPr>
        <w:t xml:space="preserve">i otkrivanja pranja novca, predikatnih kaznenih djela i financiranja terorizma. Međunarodna razmjena podataka, informacija i dokumentacije pokreće se na temelju </w:t>
      </w:r>
      <w:r w:rsidRPr="004665E0">
        <w:rPr>
          <w:rFonts w:ascii="Times New Roman" w:eastAsia="SimSun" w:hAnsi="Times New Roman" w:cs="Times New Roman"/>
          <w:sz w:val="24"/>
          <w:szCs w:val="24"/>
          <w:lang w:eastAsia="zh-CN"/>
        </w:rPr>
        <w:t xml:space="preserve">zamolbe Ureda upućene </w:t>
      </w:r>
      <w:r w:rsidRPr="004665E0">
        <w:rPr>
          <w:rFonts w:ascii="Times New Roman" w:eastAsia="Calibri" w:hAnsi="Times New Roman" w:cs="Times New Roman"/>
          <w:sz w:val="24"/>
          <w:szCs w:val="24"/>
        </w:rPr>
        <w:t xml:space="preserve">inozemnoj financijsko-obavještajnoj jedinici, </w:t>
      </w:r>
      <w:r w:rsidRPr="004665E0">
        <w:rPr>
          <w:rFonts w:ascii="Times New Roman" w:eastAsia="SimSun" w:hAnsi="Times New Roman" w:cs="Times New Roman"/>
          <w:sz w:val="24"/>
          <w:szCs w:val="24"/>
          <w:lang w:eastAsia="zh-CN"/>
        </w:rPr>
        <w:t>zamolbe</w:t>
      </w:r>
      <w:r w:rsidRPr="004665E0">
        <w:rPr>
          <w:rFonts w:ascii="Times New Roman" w:eastAsia="Calibri" w:hAnsi="Times New Roman" w:cs="Times New Roman"/>
          <w:sz w:val="24"/>
          <w:szCs w:val="24"/>
        </w:rPr>
        <w:t xml:space="preserve"> inozemne financijsko-obavještajne jedinice</w:t>
      </w:r>
      <w:r w:rsidRPr="004665E0">
        <w:rPr>
          <w:rFonts w:ascii="Times New Roman" w:eastAsia="SimSun" w:hAnsi="Times New Roman" w:cs="Times New Roman"/>
          <w:sz w:val="24"/>
          <w:szCs w:val="24"/>
          <w:lang w:eastAsia="zh-CN"/>
        </w:rPr>
        <w:t xml:space="preserve"> upućene Uredu</w:t>
      </w:r>
      <w:r w:rsidRPr="004665E0">
        <w:rPr>
          <w:rFonts w:ascii="Times New Roman" w:eastAsia="Calibri" w:hAnsi="Times New Roman" w:cs="Times New Roman"/>
          <w:sz w:val="24"/>
          <w:szCs w:val="24"/>
        </w:rPr>
        <w:t xml:space="preserve">, </w:t>
      </w:r>
      <w:r w:rsidRPr="004665E0">
        <w:rPr>
          <w:rFonts w:ascii="Times New Roman" w:eastAsia="SimSun" w:hAnsi="Times New Roman" w:cs="Times New Roman"/>
          <w:sz w:val="24"/>
          <w:szCs w:val="24"/>
          <w:lang w:eastAsia="zh-CN"/>
        </w:rPr>
        <w:t xml:space="preserve">spontane dostave podataka, informacija i dokumentacije od strane Ureda </w:t>
      </w:r>
      <w:r w:rsidRPr="004665E0">
        <w:rPr>
          <w:rFonts w:ascii="Times New Roman" w:eastAsia="Calibri" w:hAnsi="Times New Roman" w:cs="Times New Roman"/>
          <w:sz w:val="24"/>
          <w:szCs w:val="24"/>
        </w:rPr>
        <w:t xml:space="preserve">inozemnoj financijsko- obavještajnoj jedinici </w:t>
      </w:r>
      <w:r w:rsidRPr="004665E0">
        <w:rPr>
          <w:rFonts w:ascii="Times New Roman" w:eastAsia="SimSun" w:hAnsi="Times New Roman" w:cs="Times New Roman"/>
          <w:sz w:val="24"/>
          <w:szCs w:val="24"/>
          <w:lang w:eastAsia="zh-CN"/>
        </w:rPr>
        <w:t>ili</w:t>
      </w:r>
      <w:r w:rsidRPr="004665E0">
        <w:rPr>
          <w:rFonts w:ascii="Times New Roman" w:eastAsia="Calibri" w:hAnsi="Times New Roman" w:cs="Times New Roman"/>
          <w:sz w:val="24"/>
          <w:szCs w:val="24"/>
        </w:rPr>
        <w:t xml:space="preserve"> </w:t>
      </w:r>
      <w:r w:rsidRPr="004665E0">
        <w:rPr>
          <w:rFonts w:ascii="Times New Roman" w:eastAsia="SimSun" w:hAnsi="Times New Roman" w:cs="Times New Roman"/>
          <w:sz w:val="24"/>
          <w:szCs w:val="24"/>
          <w:lang w:eastAsia="zh-CN"/>
        </w:rPr>
        <w:t xml:space="preserve">spontane dostave podataka, informacija i dokumentacije od </w:t>
      </w:r>
      <w:r w:rsidRPr="004665E0">
        <w:rPr>
          <w:rFonts w:ascii="Times New Roman" w:eastAsia="Calibri" w:hAnsi="Times New Roman" w:cs="Times New Roman"/>
          <w:sz w:val="24"/>
          <w:szCs w:val="24"/>
        </w:rPr>
        <w:t>inozemne financijsko-obavještajne jedinice</w:t>
      </w:r>
      <w:r w:rsidRPr="004665E0">
        <w:rPr>
          <w:rFonts w:ascii="Times New Roman" w:eastAsia="SimSun" w:hAnsi="Times New Roman" w:cs="Times New Roman"/>
          <w:sz w:val="24"/>
          <w:szCs w:val="24"/>
          <w:lang w:eastAsia="zh-CN"/>
        </w:rPr>
        <w:t xml:space="preserve"> Uredu</w:t>
      </w:r>
      <w:r w:rsidRPr="004665E0">
        <w:rPr>
          <w:rFonts w:ascii="Times New Roman" w:eastAsia="Calibri" w:hAnsi="Times New Roman" w:cs="Times New Roman"/>
          <w:bCs/>
          <w:sz w:val="24"/>
          <w:szCs w:val="24"/>
        </w:rPr>
        <w:t xml:space="preserve"> (članak 127. Zakona).</w:t>
      </w:r>
    </w:p>
    <w:p w14:paraId="0921960E" w14:textId="77777777" w:rsidR="004665E0" w:rsidRPr="004665E0" w:rsidRDefault="004665E0" w:rsidP="004665E0">
      <w:pPr>
        <w:tabs>
          <w:tab w:val="left" w:pos="850"/>
          <w:tab w:val="left" w:pos="1191"/>
          <w:tab w:val="left" w:pos="1531"/>
        </w:tabs>
        <w:spacing w:after="0" w:line="240" w:lineRule="auto"/>
        <w:jc w:val="both"/>
        <w:rPr>
          <w:rFonts w:ascii="Times New Roman" w:eastAsia="SimSun" w:hAnsi="Times New Roman" w:cs="Times New Roman"/>
          <w:bCs/>
          <w:sz w:val="24"/>
          <w:szCs w:val="24"/>
          <w:lang w:eastAsia="zh-CN"/>
        </w:rPr>
      </w:pPr>
    </w:p>
    <w:p w14:paraId="68864264" w14:textId="3F0A4B6E" w:rsidR="004665E0" w:rsidRPr="004665E0" w:rsidRDefault="00CE631B" w:rsidP="004665E0">
      <w:pPr>
        <w:tabs>
          <w:tab w:val="left" w:pos="850"/>
          <w:tab w:val="left" w:pos="1191"/>
          <w:tab w:val="left" w:pos="1531"/>
        </w:tab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K</w:t>
      </w:r>
      <w:r w:rsidR="004665E0" w:rsidRPr="004665E0">
        <w:rPr>
          <w:rFonts w:ascii="Times New Roman" w:eastAsia="SimSun" w:hAnsi="Times New Roman" w:cs="Times New Roman"/>
          <w:sz w:val="24"/>
          <w:szCs w:val="24"/>
          <w:lang w:eastAsia="zh-CN"/>
        </w:rPr>
        <w:t>ada</w:t>
      </w:r>
      <w:r>
        <w:rPr>
          <w:rFonts w:ascii="Times New Roman" w:eastAsia="SimSun" w:hAnsi="Times New Roman" w:cs="Times New Roman"/>
          <w:sz w:val="24"/>
          <w:szCs w:val="24"/>
          <w:lang w:eastAsia="zh-CN"/>
        </w:rPr>
        <w:t xml:space="preserve"> Ured</w:t>
      </w:r>
      <w:r w:rsidR="004665E0" w:rsidRPr="004665E0">
        <w:rPr>
          <w:rFonts w:ascii="Times New Roman" w:eastAsia="SimSun" w:hAnsi="Times New Roman" w:cs="Times New Roman"/>
          <w:sz w:val="24"/>
          <w:szCs w:val="24"/>
          <w:lang w:eastAsia="zh-CN"/>
        </w:rPr>
        <w:t xml:space="preserve"> zaprimi zamolbu</w:t>
      </w:r>
      <w:r w:rsidR="00A46D3A">
        <w:rPr>
          <w:rFonts w:ascii="Times New Roman" w:eastAsia="SimSun" w:hAnsi="Times New Roman" w:cs="Times New Roman"/>
          <w:sz w:val="24"/>
          <w:szCs w:val="24"/>
          <w:lang w:eastAsia="zh-CN"/>
        </w:rPr>
        <w:t>/spontanu dostavu podataka</w:t>
      </w:r>
      <w:r w:rsidR="004665E0" w:rsidRPr="004665E0">
        <w:rPr>
          <w:rFonts w:ascii="Times New Roman" w:eastAsia="SimSun" w:hAnsi="Times New Roman" w:cs="Times New Roman"/>
          <w:sz w:val="24"/>
          <w:szCs w:val="24"/>
          <w:lang w:eastAsia="zh-CN"/>
        </w:rPr>
        <w:t xml:space="preserve"> inozemne financijsko</w:t>
      </w:r>
      <w:r w:rsidR="000C417F">
        <w:rPr>
          <w:rFonts w:ascii="Times New Roman" w:eastAsia="SimSun" w:hAnsi="Times New Roman" w:cs="Times New Roman"/>
          <w:sz w:val="24"/>
          <w:szCs w:val="24"/>
          <w:lang w:eastAsia="zh-CN"/>
        </w:rPr>
        <w:t>-</w:t>
      </w:r>
      <w:r w:rsidR="004665E0" w:rsidRPr="004665E0">
        <w:rPr>
          <w:rFonts w:ascii="Times New Roman" w:eastAsia="SimSun" w:hAnsi="Times New Roman" w:cs="Times New Roman"/>
          <w:sz w:val="24"/>
          <w:szCs w:val="24"/>
          <w:lang w:eastAsia="zh-CN"/>
        </w:rPr>
        <w:t xml:space="preserve"> obavještajne jedinice (članak 129. Zakona), Ured započinje analitičku obavještajnu obradu sumnjivih transakcija, sredstava i osoba. Također, Ured može surađivati s inozemnim financijsko-obavještajnim jedinicama bez obzira na njegov organizacijski status i neovisno o tome je li predikatno kazneno djelo u trenutku razmjene podataka poznato.</w:t>
      </w:r>
    </w:p>
    <w:p w14:paraId="01ADF616" w14:textId="77777777" w:rsidR="004665E0" w:rsidRPr="004665E0" w:rsidRDefault="004665E0" w:rsidP="004665E0">
      <w:pPr>
        <w:tabs>
          <w:tab w:val="left" w:pos="850"/>
          <w:tab w:val="left" w:pos="1191"/>
          <w:tab w:val="left" w:pos="1531"/>
        </w:tabs>
        <w:spacing w:after="0" w:line="240" w:lineRule="auto"/>
        <w:jc w:val="both"/>
        <w:rPr>
          <w:rFonts w:ascii="Times New Roman" w:eastAsia="SimSun" w:hAnsi="Times New Roman" w:cs="Times New Roman"/>
          <w:sz w:val="24"/>
          <w:szCs w:val="24"/>
          <w:lang w:eastAsia="zh-CN"/>
        </w:rPr>
      </w:pPr>
    </w:p>
    <w:p w14:paraId="09C651DC" w14:textId="089474E0" w:rsidR="004665E0" w:rsidRPr="004665E0" w:rsidRDefault="004665E0" w:rsidP="004665E0">
      <w:pPr>
        <w:tabs>
          <w:tab w:val="left" w:pos="850"/>
          <w:tab w:val="left" w:pos="1191"/>
          <w:tab w:val="left" w:pos="1531"/>
        </w:tabs>
        <w:spacing w:after="0" w:line="240" w:lineRule="auto"/>
        <w:jc w:val="both"/>
        <w:rPr>
          <w:rFonts w:ascii="Times New Roman" w:eastAsia="SimSun" w:hAnsi="Times New Roman" w:cs="Times New Roman"/>
          <w:bCs/>
          <w:sz w:val="24"/>
          <w:szCs w:val="24"/>
          <w:lang w:eastAsia="zh-CN"/>
        </w:rPr>
      </w:pPr>
      <w:r w:rsidRPr="004665E0">
        <w:rPr>
          <w:rFonts w:ascii="Times New Roman" w:eastAsia="SimSun" w:hAnsi="Times New Roman" w:cs="Times New Roman"/>
          <w:sz w:val="24"/>
          <w:szCs w:val="24"/>
          <w:lang w:eastAsia="zh-CN"/>
        </w:rPr>
        <w:t>U okviru analitičko obavještajne obrade pokrenute na zamolbu</w:t>
      </w:r>
      <w:r w:rsidR="00A46D3A">
        <w:rPr>
          <w:rFonts w:ascii="Times New Roman" w:eastAsia="SimSun" w:hAnsi="Times New Roman" w:cs="Times New Roman"/>
          <w:sz w:val="24"/>
          <w:szCs w:val="24"/>
          <w:lang w:eastAsia="zh-CN"/>
        </w:rPr>
        <w:t>/spontanu dostavu podataka</w:t>
      </w:r>
      <w:r w:rsidRPr="004665E0">
        <w:rPr>
          <w:rFonts w:ascii="Times New Roman" w:eastAsia="SimSun" w:hAnsi="Times New Roman" w:cs="Times New Roman"/>
          <w:sz w:val="24"/>
          <w:szCs w:val="24"/>
          <w:lang w:eastAsia="zh-CN"/>
        </w:rPr>
        <w:t xml:space="preserve"> inozemne financijsko</w:t>
      </w:r>
      <w:r w:rsidR="000C417F">
        <w:rPr>
          <w:rFonts w:ascii="Times New Roman" w:eastAsia="SimSun" w:hAnsi="Times New Roman" w:cs="Times New Roman"/>
          <w:sz w:val="24"/>
          <w:szCs w:val="24"/>
          <w:lang w:eastAsia="zh-CN"/>
        </w:rPr>
        <w:t>-</w:t>
      </w:r>
      <w:r w:rsidRPr="004665E0">
        <w:rPr>
          <w:rFonts w:ascii="Times New Roman" w:eastAsia="SimSun" w:hAnsi="Times New Roman" w:cs="Times New Roman"/>
          <w:sz w:val="24"/>
          <w:szCs w:val="24"/>
          <w:lang w:eastAsia="zh-CN"/>
        </w:rPr>
        <w:t xml:space="preserve"> obavještajne jedinice Ured je ovlašten od svih obveznika (članak 113. Zakona) i državnih tijela (članak 115. Zakona) prikupiti sve dodatne podatke potrebne za </w:t>
      </w:r>
      <w:r w:rsidRPr="004665E0">
        <w:rPr>
          <w:rFonts w:ascii="Times New Roman" w:eastAsia="Calibri" w:hAnsi="Times New Roman" w:cs="Times New Roman"/>
          <w:sz w:val="24"/>
          <w:szCs w:val="24"/>
        </w:rPr>
        <w:t xml:space="preserve">sprječavanja i otkrivanja pranja novca, predikatnih kaznenih djela i financiranja terorizma, kao da je inicijativa krenula od obveznika i </w:t>
      </w:r>
      <w:r w:rsidR="00CE631B">
        <w:rPr>
          <w:rFonts w:ascii="Times New Roman" w:eastAsia="Calibri" w:hAnsi="Times New Roman" w:cs="Times New Roman"/>
          <w:sz w:val="24"/>
          <w:szCs w:val="24"/>
        </w:rPr>
        <w:t>nadležnih domaćih tijela</w:t>
      </w:r>
      <w:r w:rsidRPr="004665E0">
        <w:rPr>
          <w:rFonts w:ascii="Times New Roman" w:eastAsia="Calibri" w:hAnsi="Times New Roman" w:cs="Times New Roman"/>
          <w:sz w:val="24"/>
          <w:szCs w:val="24"/>
        </w:rPr>
        <w:t>.</w:t>
      </w:r>
    </w:p>
    <w:p w14:paraId="183F0A51" w14:textId="77777777" w:rsidR="004665E0" w:rsidRPr="004665E0" w:rsidRDefault="004665E0" w:rsidP="004665E0">
      <w:pPr>
        <w:tabs>
          <w:tab w:val="left" w:pos="850"/>
          <w:tab w:val="left" w:pos="1191"/>
          <w:tab w:val="left" w:pos="1531"/>
        </w:tabs>
        <w:spacing w:after="0" w:line="240" w:lineRule="auto"/>
        <w:jc w:val="both"/>
        <w:rPr>
          <w:rFonts w:ascii="Times New Roman" w:eastAsia="SimSun" w:hAnsi="Times New Roman" w:cs="Times New Roman"/>
          <w:bCs/>
          <w:sz w:val="24"/>
          <w:szCs w:val="24"/>
          <w:highlight w:val="red"/>
          <w:lang w:eastAsia="zh-CN"/>
        </w:rPr>
      </w:pPr>
    </w:p>
    <w:p w14:paraId="457B8209" w14:textId="713885A3" w:rsidR="004665E0" w:rsidRPr="004665E0" w:rsidRDefault="004665E0" w:rsidP="004665E0">
      <w:pPr>
        <w:tabs>
          <w:tab w:val="left" w:pos="850"/>
          <w:tab w:val="left" w:pos="1191"/>
          <w:tab w:val="left" w:pos="1531"/>
        </w:tabs>
        <w:spacing w:after="0" w:line="240" w:lineRule="auto"/>
        <w:jc w:val="both"/>
        <w:rPr>
          <w:rFonts w:ascii="Times New Roman" w:eastAsia="SimSun" w:hAnsi="Times New Roman" w:cs="Times New Roman"/>
          <w:bCs/>
          <w:sz w:val="24"/>
          <w:szCs w:val="24"/>
          <w:lang w:eastAsia="zh-CN"/>
        </w:rPr>
      </w:pPr>
      <w:r w:rsidRPr="004665E0">
        <w:rPr>
          <w:rFonts w:ascii="Times New Roman" w:eastAsia="SimSun" w:hAnsi="Times New Roman" w:cs="Times New Roman"/>
          <w:bCs/>
          <w:sz w:val="24"/>
          <w:szCs w:val="24"/>
          <w:lang w:eastAsia="zh-CN"/>
        </w:rPr>
        <w:t xml:space="preserve">U Tablici </w:t>
      </w:r>
      <w:r w:rsidR="00CF4B6B">
        <w:rPr>
          <w:rFonts w:ascii="Times New Roman" w:eastAsia="SimSun" w:hAnsi="Times New Roman" w:cs="Times New Roman"/>
          <w:bCs/>
          <w:sz w:val="24"/>
          <w:szCs w:val="24"/>
          <w:lang w:eastAsia="zh-CN"/>
        </w:rPr>
        <w:t>7</w:t>
      </w:r>
      <w:r w:rsidR="005323C8">
        <w:rPr>
          <w:rFonts w:ascii="Times New Roman" w:eastAsia="SimSun" w:hAnsi="Times New Roman" w:cs="Times New Roman"/>
          <w:bCs/>
          <w:sz w:val="24"/>
          <w:szCs w:val="24"/>
          <w:lang w:eastAsia="zh-CN"/>
        </w:rPr>
        <w:t xml:space="preserve">. </w:t>
      </w:r>
      <w:r w:rsidRPr="004665E0">
        <w:rPr>
          <w:rFonts w:ascii="Times New Roman" w:eastAsia="SimSun" w:hAnsi="Times New Roman" w:cs="Times New Roman"/>
          <w:bCs/>
          <w:sz w:val="24"/>
          <w:szCs w:val="24"/>
          <w:lang w:eastAsia="zh-CN"/>
        </w:rPr>
        <w:t>prikazan je broj otvorenih analitičkih predmeta u 202</w:t>
      </w:r>
      <w:r w:rsidR="003F0F99">
        <w:rPr>
          <w:rFonts w:ascii="Times New Roman" w:eastAsia="SimSun" w:hAnsi="Times New Roman" w:cs="Times New Roman"/>
          <w:bCs/>
          <w:sz w:val="24"/>
          <w:szCs w:val="24"/>
          <w:lang w:eastAsia="zh-CN"/>
        </w:rPr>
        <w:t>2</w:t>
      </w:r>
      <w:r w:rsidRPr="004665E0">
        <w:rPr>
          <w:rFonts w:ascii="Times New Roman" w:eastAsia="SimSun" w:hAnsi="Times New Roman" w:cs="Times New Roman"/>
          <w:bCs/>
          <w:sz w:val="24"/>
          <w:szCs w:val="24"/>
          <w:lang w:eastAsia="zh-CN"/>
        </w:rPr>
        <w:t>. na temelju zamolba</w:t>
      </w:r>
      <w:r w:rsidR="00A46D3A">
        <w:rPr>
          <w:rFonts w:ascii="Times New Roman" w:eastAsia="SimSun" w:hAnsi="Times New Roman" w:cs="Times New Roman"/>
          <w:bCs/>
          <w:sz w:val="24"/>
          <w:szCs w:val="24"/>
          <w:lang w:eastAsia="zh-CN"/>
        </w:rPr>
        <w:t>/spontanih dostava podataka</w:t>
      </w:r>
      <w:r w:rsidRPr="004665E0">
        <w:rPr>
          <w:rFonts w:ascii="Times New Roman" w:eastAsia="SimSun" w:hAnsi="Times New Roman" w:cs="Times New Roman"/>
          <w:bCs/>
          <w:sz w:val="24"/>
          <w:szCs w:val="24"/>
          <w:lang w:eastAsia="zh-CN"/>
        </w:rPr>
        <w:t xml:space="preserve"> zaprimljenih od inozemnih financijsko</w:t>
      </w:r>
      <w:r w:rsidR="00E205F1">
        <w:rPr>
          <w:rFonts w:ascii="Times New Roman" w:eastAsia="SimSun" w:hAnsi="Times New Roman" w:cs="Times New Roman"/>
          <w:bCs/>
          <w:sz w:val="24"/>
          <w:szCs w:val="24"/>
          <w:lang w:eastAsia="zh-CN"/>
        </w:rPr>
        <w:t>-</w:t>
      </w:r>
      <w:r w:rsidRPr="004665E0">
        <w:rPr>
          <w:rFonts w:ascii="Times New Roman" w:eastAsia="SimSun" w:hAnsi="Times New Roman" w:cs="Times New Roman"/>
          <w:bCs/>
          <w:sz w:val="24"/>
          <w:szCs w:val="24"/>
          <w:lang w:eastAsia="zh-CN"/>
        </w:rPr>
        <w:t>obavještajnih jedinice u 202</w:t>
      </w:r>
      <w:r w:rsidR="003F0F99">
        <w:rPr>
          <w:rFonts w:ascii="Times New Roman" w:eastAsia="SimSun" w:hAnsi="Times New Roman" w:cs="Times New Roman"/>
          <w:bCs/>
          <w:sz w:val="24"/>
          <w:szCs w:val="24"/>
          <w:lang w:eastAsia="zh-CN"/>
        </w:rPr>
        <w:t>2</w:t>
      </w:r>
      <w:r w:rsidRPr="004665E0">
        <w:rPr>
          <w:rFonts w:ascii="Times New Roman" w:eastAsia="SimSun" w:hAnsi="Times New Roman" w:cs="Times New Roman"/>
          <w:bCs/>
          <w:sz w:val="24"/>
          <w:szCs w:val="24"/>
          <w:lang w:eastAsia="zh-CN"/>
        </w:rPr>
        <w:t xml:space="preserve">., kao i broj dostavljenih </w:t>
      </w:r>
      <w:r w:rsidR="00D34811">
        <w:rPr>
          <w:rFonts w:ascii="Times New Roman" w:eastAsia="SimSun" w:hAnsi="Times New Roman" w:cs="Times New Roman"/>
          <w:bCs/>
          <w:sz w:val="24"/>
          <w:szCs w:val="24"/>
          <w:lang w:eastAsia="zh-CN"/>
        </w:rPr>
        <w:t xml:space="preserve">spontanih </w:t>
      </w:r>
      <w:r w:rsidRPr="004665E0">
        <w:rPr>
          <w:rFonts w:ascii="Times New Roman" w:eastAsia="SimSun" w:hAnsi="Times New Roman" w:cs="Times New Roman"/>
          <w:bCs/>
          <w:sz w:val="24"/>
          <w:szCs w:val="24"/>
          <w:lang w:eastAsia="zh-CN"/>
        </w:rPr>
        <w:t>obavijesti o sumnjivim transakcijama koje je Ured dostavio inozemnim financijsko obavještajnim jedinicama.</w:t>
      </w:r>
    </w:p>
    <w:p w14:paraId="2E385BD7" w14:textId="77777777" w:rsidR="004665E0" w:rsidRPr="004665E0" w:rsidRDefault="004665E0" w:rsidP="004665E0">
      <w:pPr>
        <w:tabs>
          <w:tab w:val="left" w:pos="850"/>
          <w:tab w:val="left" w:pos="1191"/>
          <w:tab w:val="left" w:pos="1531"/>
        </w:tabs>
        <w:spacing w:after="0" w:line="240" w:lineRule="auto"/>
        <w:jc w:val="both"/>
        <w:rPr>
          <w:rFonts w:ascii="Times New Roman" w:eastAsia="SimSun" w:hAnsi="Times New Roman" w:cs="Times New Roman"/>
          <w:b/>
          <w:bCs/>
          <w:sz w:val="24"/>
          <w:szCs w:val="24"/>
          <w:lang w:eastAsia="zh-CN"/>
        </w:rPr>
      </w:pPr>
    </w:p>
    <w:p w14:paraId="43280AB1" w14:textId="12D5FD9D" w:rsidR="004665E0" w:rsidRPr="00CF4B6B" w:rsidRDefault="005323C8" w:rsidP="004665E0">
      <w:pPr>
        <w:tabs>
          <w:tab w:val="left" w:pos="850"/>
          <w:tab w:val="left" w:pos="1191"/>
          <w:tab w:val="left" w:pos="1531"/>
        </w:tabs>
        <w:spacing w:after="0" w:line="240" w:lineRule="auto"/>
        <w:jc w:val="both"/>
        <w:rPr>
          <w:rFonts w:ascii="Times New Roman" w:eastAsia="SimSun" w:hAnsi="Times New Roman" w:cs="Times New Roman"/>
          <w:bCs/>
          <w:sz w:val="24"/>
          <w:szCs w:val="24"/>
          <w:lang w:eastAsia="zh-CN"/>
        </w:rPr>
      </w:pPr>
      <w:r w:rsidRPr="00CF4B6B">
        <w:rPr>
          <w:rFonts w:ascii="Times New Roman" w:eastAsia="SimSun" w:hAnsi="Times New Roman" w:cs="Times New Roman"/>
          <w:bCs/>
          <w:sz w:val="24"/>
          <w:szCs w:val="24"/>
          <w:lang w:eastAsia="zh-CN"/>
        </w:rPr>
        <w:t xml:space="preserve">Tablica </w:t>
      </w:r>
      <w:r w:rsidR="00CF4B6B" w:rsidRPr="00CF4B6B">
        <w:rPr>
          <w:rFonts w:ascii="Times New Roman" w:eastAsia="SimSun" w:hAnsi="Times New Roman" w:cs="Times New Roman"/>
          <w:bCs/>
          <w:sz w:val="24"/>
          <w:szCs w:val="24"/>
          <w:lang w:eastAsia="zh-CN"/>
        </w:rPr>
        <w:t>7</w:t>
      </w:r>
      <w:r w:rsidR="004665E0" w:rsidRPr="00CF4B6B">
        <w:rPr>
          <w:rFonts w:ascii="Times New Roman" w:eastAsia="SimSun" w:hAnsi="Times New Roman" w:cs="Times New Roman"/>
          <w:bCs/>
          <w:sz w:val="24"/>
          <w:szCs w:val="24"/>
          <w:lang w:eastAsia="zh-CN"/>
        </w:rPr>
        <w:t>.</w:t>
      </w:r>
    </w:p>
    <w:p w14:paraId="4F216313" w14:textId="503BCF5F" w:rsidR="00701F18" w:rsidRDefault="00701F18" w:rsidP="004665E0">
      <w:pPr>
        <w:tabs>
          <w:tab w:val="left" w:pos="850"/>
          <w:tab w:val="left" w:pos="1191"/>
          <w:tab w:val="left" w:pos="1531"/>
        </w:tabs>
        <w:spacing w:after="0" w:line="240" w:lineRule="auto"/>
        <w:jc w:val="both"/>
      </w:pPr>
      <w:r>
        <w:rPr>
          <w:lang w:eastAsia="zh-CN"/>
        </w:rPr>
        <w:fldChar w:fldCharType="begin"/>
      </w:r>
      <w:r>
        <w:rPr>
          <w:lang w:eastAsia="zh-CN"/>
        </w:rPr>
        <w:instrText xml:space="preserve"> LINK Excel.Sheet.12 "C:\\Users\\abilus\\Desktop\\Posao\\TABLICE ANALITIKE.xlsx" "List4!R1C1:R4C3" \a \f 4 \h  \* MERGEFORMAT </w:instrText>
      </w:r>
      <w:r>
        <w:rPr>
          <w:lang w:eastAsia="zh-CN"/>
        </w:rPr>
        <w:fldChar w:fldCharType="separate"/>
      </w:r>
    </w:p>
    <w:tbl>
      <w:tblPr>
        <w:tblW w:w="8500" w:type="dxa"/>
        <w:tblLook w:val="04A0" w:firstRow="1" w:lastRow="0" w:firstColumn="1" w:lastColumn="0" w:noHBand="0" w:noVBand="1"/>
      </w:tblPr>
      <w:tblGrid>
        <w:gridCol w:w="6658"/>
        <w:gridCol w:w="992"/>
        <w:gridCol w:w="850"/>
      </w:tblGrid>
      <w:tr w:rsidR="00701F18" w:rsidRPr="00701F18" w14:paraId="20DBC705" w14:textId="77777777" w:rsidTr="00701F18">
        <w:trPr>
          <w:trHeight w:val="288"/>
        </w:trPr>
        <w:tc>
          <w:tcPr>
            <w:tcW w:w="66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1754CC" w14:textId="647DF4B3" w:rsidR="00701F18" w:rsidRPr="00701F18" w:rsidRDefault="00701F18" w:rsidP="00701F18">
            <w:pPr>
              <w:spacing w:after="0" w:line="240" w:lineRule="auto"/>
              <w:jc w:val="center"/>
              <w:rPr>
                <w:rFonts w:ascii="Times New Roman" w:eastAsia="Times New Roman" w:hAnsi="Times New Roman" w:cs="Times New Roman"/>
                <w:b/>
                <w:bCs/>
                <w:color w:val="000000"/>
                <w:lang w:eastAsia="hr-HR"/>
              </w:rPr>
            </w:pPr>
            <w:r w:rsidRPr="00701F18">
              <w:rPr>
                <w:rFonts w:ascii="Times New Roman" w:eastAsia="Times New Roman" w:hAnsi="Times New Roman" w:cs="Times New Roman"/>
                <w:b/>
                <w:bCs/>
                <w:color w:val="000000"/>
                <w:lang w:eastAsia="hr-HR"/>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1CF9FE" w14:textId="77777777" w:rsidR="00701F18" w:rsidRPr="00701F18" w:rsidRDefault="00701F18" w:rsidP="00701F18">
            <w:pPr>
              <w:spacing w:after="0" w:line="240" w:lineRule="auto"/>
              <w:jc w:val="center"/>
              <w:rPr>
                <w:rFonts w:ascii="Times New Roman" w:eastAsia="Times New Roman" w:hAnsi="Times New Roman" w:cs="Times New Roman"/>
                <w:b/>
                <w:bCs/>
                <w:color w:val="000000"/>
                <w:lang w:eastAsia="hr-HR"/>
              </w:rPr>
            </w:pPr>
            <w:r w:rsidRPr="00701F18">
              <w:rPr>
                <w:rFonts w:ascii="Times New Roman" w:eastAsia="Times New Roman" w:hAnsi="Times New Roman" w:cs="Times New Roman"/>
                <w:b/>
                <w:bCs/>
                <w:color w:val="000000"/>
                <w:lang w:eastAsia="hr-HR"/>
              </w:rPr>
              <w:t>2021.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FAF3D9F" w14:textId="77777777" w:rsidR="00701F18" w:rsidRPr="00701F18" w:rsidRDefault="00701F18" w:rsidP="00701F18">
            <w:pPr>
              <w:spacing w:after="0" w:line="240" w:lineRule="auto"/>
              <w:jc w:val="center"/>
              <w:rPr>
                <w:rFonts w:ascii="Times New Roman" w:eastAsia="Times New Roman" w:hAnsi="Times New Roman" w:cs="Times New Roman"/>
                <w:b/>
                <w:bCs/>
                <w:color w:val="000000"/>
                <w:lang w:eastAsia="hr-HR"/>
              </w:rPr>
            </w:pPr>
            <w:r w:rsidRPr="00701F18">
              <w:rPr>
                <w:rFonts w:ascii="Times New Roman" w:eastAsia="Times New Roman" w:hAnsi="Times New Roman" w:cs="Times New Roman"/>
                <w:b/>
                <w:bCs/>
                <w:color w:val="000000"/>
                <w:lang w:eastAsia="hr-HR"/>
              </w:rPr>
              <w:t>2022.</w:t>
            </w:r>
          </w:p>
        </w:tc>
      </w:tr>
      <w:tr w:rsidR="00701F18" w:rsidRPr="00701F18" w14:paraId="14B77BAD" w14:textId="77777777" w:rsidTr="00701F18">
        <w:trPr>
          <w:trHeight w:val="528"/>
        </w:trPr>
        <w:tc>
          <w:tcPr>
            <w:tcW w:w="6658" w:type="dxa"/>
            <w:tcBorders>
              <w:top w:val="nil"/>
              <w:left w:val="single" w:sz="4" w:space="0" w:color="auto"/>
              <w:bottom w:val="single" w:sz="4" w:space="0" w:color="auto"/>
              <w:right w:val="single" w:sz="4" w:space="0" w:color="auto"/>
            </w:tcBorders>
            <w:shd w:val="clear" w:color="000000" w:fill="FFFFFF"/>
            <w:vAlign w:val="center"/>
            <w:hideMark/>
          </w:tcPr>
          <w:p w14:paraId="2A6EBE85" w14:textId="77777777" w:rsidR="00701F18" w:rsidRPr="00701F18" w:rsidRDefault="00701F18" w:rsidP="00701F18">
            <w:pPr>
              <w:spacing w:after="0" w:line="240" w:lineRule="auto"/>
              <w:jc w:val="center"/>
              <w:rPr>
                <w:rFonts w:ascii="Times New Roman" w:eastAsia="Times New Roman" w:hAnsi="Times New Roman" w:cs="Times New Roman"/>
                <w:color w:val="000000"/>
                <w:lang w:eastAsia="hr-HR"/>
              </w:rPr>
            </w:pPr>
            <w:r w:rsidRPr="00701F18">
              <w:rPr>
                <w:rFonts w:ascii="Times New Roman" w:eastAsia="Times New Roman" w:hAnsi="Times New Roman" w:cs="Times New Roman"/>
                <w:color w:val="000000"/>
                <w:lang w:eastAsia="hr-HR"/>
              </w:rPr>
              <w:t>BROJ OTVORENIH PREDMETA UREDA TEMELJEM PODATAKA INOZEMNIH FOJ</w:t>
            </w:r>
          </w:p>
        </w:tc>
        <w:tc>
          <w:tcPr>
            <w:tcW w:w="992" w:type="dxa"/>
            <w:tcBorders>
              <w:top w:val="nil"/>
              <w:left w:val="nil"/>
              <w:bottom w:val="single" w:sz="4" w:space="0" w:color="auto"/>
              <w:right w:val="single" w:sz="4" w:space="0" w:color="auto"/>
            </w:tcBorders>
            <w:shd w:val="clear" w:color="000000" w:fill="FFFFFF"/>
            <w:vAlign w:val="center"/>
            <w:hideMark/>
          </w:tcPr>
          <w:p w14:paraId="758FB487" w14:textId="77777777" w:rsidR="00701F18" w:rsidRPr="00701F18" w:rsidRDefault="00701F18" w:rsidP="00701F18">
            <w:pPr>
              <w:spacing w:after="0" w:line="240" w:lineRule="auto"/>
              <w:jc w:val="center"/>
              <w:rPr>
                <w:rFonts w:ascii="Times New Roman" w:eastAsia="Times New Roman" w:hAnsi="Times New Roman" w:cs="Times New Roman"/>
                <w:color w:val="000000"/>
                <w:lang w:eastAsia="hr-HR"/>
              </w:rPr>
            </w:pPr>
            <w:r w:rsidRPr="00701F18">
              <w:rPr>
                <w:rFonts w:ascii="Times New Roman" w:eastAsia="Times New Roman" w:hAnsi="Times New Roman" w:cs="Times New Roman"/>
                <w:color w:val="000000"/>
                <w:lang w:eastAsia="hr-HR"/>
              </w:rPr>
              <w:t>142</w:t>
            </w:r>
          </w:p>
        </w:tc>
        <w:tc>
          <w:tcPr>
            <w:tcW w:w="850" w:type="dxa"/>
            <w:tcBorders>
              <w:top w:val="nil"/>
              <w:left w:val="nil"/>
              <w:bottom w:val="single" w:sz="4" w:space="0" w:color="auto"/>
              <w:right w:val="single" w:sz="4" w:space="0" w:color="auto"/>
            </w:tcBorders>
            <w:shd w:val="clear" w:color="000000" w:fill="FFFFFF"/>
            <w:vAlign w:val="center"/>
            <w:hideMark/>
          </w:tcPr>
          <w:p w14:paraId="250D926F" w14:textId="77777777" w:rsidR="00701F18" w:rsidRPr="00701F18" w:rsidRDefault="00701F18" w:rsidP="00701F18">
            <w:pPr>
              <w:spacing w:after="0" w:line="240" w:lineRule="auto"/>
              <w:jc w:val="center"/>
              <w:rPr>
                <w:rFonts w:ascii="Times New Roman" w:eastAsia="Times New Roman" w:hAnsi="Times New Roman" w:cs="Times New Roman"/>
                <w:color w:val="000000"/>
                <w:lang w:eastAsia="hr-HR"/>
              </w:rPr>
            </w:pPr>
            <w:r w:rsidRPr="00701F18">
              <w:rPr>
                <w:rFonts w:ascii="Times New Roman" w:eastAsia="Times New Roman" w:hAnsi="Times New Roman" w:cs="Times New Roman"/>
                <w:color w:val="000000"/>
                <w:lang w:eastAsia="hr-HR"/>
              </w:rPr>
              <w:t>116</w:t>
            </w:r>
          </w:p>
        </w:tc>
      </w:tr>
      <w:tr w:rsidR="00701F18" w:rsidRPr="00701F18" w14:paraId="0B6DF555" w14:textId="77777777" w:rsidTr="00701F18">
        <w:trPr>
          <w:trHeight w:hRule="exact" w:val="360"/>
        </w:trPr>
        <w:tc>
          <w:tcPr>
            <w:tcW w:w="6658" w:type="dxa"/>
            <w:tcBorders>
              <w:top w:val="nil"/>
              <w:left w:val="single" w:sz="4" w:space="0" w:color="auto"/>
              <w:bottom w:val="single" w:sz="4" w:space="0" w:color="auto"/>
              <w:right w:val="single" w:sz="4" w:space="0" w:color="auto"/>
            </w:tcBorders>
            <w:shd w:val="clear" w:color="000000" w:fill="FFFFFF"/>
            <w:vAlign w:val="center"/>
            <w:hideMark/>
          </w:tcPr>
          <w:p w14:paraId="5E105D09" w14:textId="77777777" w:rsidR="00701F18" w:rsidRPr="00701F18" w:rsidRDefault="00701F18" w:rsidP="00701F18">
            <w:pPr>
              <w:spacing w:after="0" w:line="240" w:lineRule="auto"/>
              <w:jc w:val="center"/>
              <w:rPr>
                <w:rFonts w:ascii="Times New Roman" w:eastAsia="Times New Roman" w:hAnsi="Times New Roman" w:cs="Times New Roman"/>
                <w:color w:val="000000"/>
                <w:lang w:eastAsia="hr-HR"/>
              </w:rPr>
            </w:pPr>
            <w:r w:rsidRPr="00701F18">
              <w:rPr>
                <w:rFonts w:ascii="Times New Roman" w:eastAsia="Times New Roman" w:hAnsi="Times New Roman" w:cs="Times New Roman"/>
                <w:color w:val="000000"/>
                <w:lang w:eastAsia="hr-HR"/>
              </w:rPr>
              <w:t>URED – BROJ SPONTANIH OBAVIJESTI INOZEMNIM FOJ</w:t>
            </w:r>
          </w:p>
        </w:tc>
        <w:tc>
          <w:tcPr>
            <w:tcW w:w="992" w:type="dxa"/>
            <w:tcBorders>
              <w:top w:val="nil"/>
              <w:left w:val="nil"/>
              <w:bottom w:val="single" w:sz="4" w:space="0" w:color="auto"/>
              <w:right w:val="single" w:sz="4" w:space="0" w:color="auto"/>
            </w:tcBorders>
            <w:shd w:val="clear" w:color="000000" w:fill="FFFFFF"/>
            <w:vAlign w:val="center"/>
            <w:hideMark/>
          </w:tcPr>
          <w:p w14:paraId="34CDFD29" w14:textId="77777777" w:rsidR="00701F18" w:rsidRPr="00701F18" w:rsidRDefault="00701F18" w:rsidP="00701F18">
            <w:pPr>
              <w:spacing w:after="0" w:line="240" w:lineRule="auto"/>
              <w:jc w:val="center"/>
              <w:rPr>
                <w:rFonts w:ascii="Times New Roman" w:eastAsia="Times New Roman" w:hAnsi="Times New Roman" w:cs="Times New Roman"/>
                <w:color w:val="000000"/>
                <w:lang w:eastAsia="hr-HR"/>
              </w:rPr>
            </w:pPr>
            <w:r w:rsidRPr="00701F18">
              <w:rPr>
                <w:rFonts w:ascii="Times New Roman" w:eastAsia="Times New Roman" w:hAnsi="Times New Roman" w:cs="Times New Roman"/>
                <w:color w:val="000000"/>
                <w:lang w:eastAsia="hr-HR"/>
              </w:rPr>
              <w:t>15</w:t>
            </w:r>
          </w:p>
        </w:tc>
        <w:tc>
          <w:tcPr>
            <w:tcW w:w="850" w:type="dxa"/>
            <w:tcBorders>
              <w:top w:val="nil"/>
              <w:left w:val="nil"/>
              <w:bottom w:val="single" w:sz="4" w:space="0" w:color="auto"/>
              <w:right w:val="single" w:sz="4" w:space="0" w:color="auto"/>
            </w:tcBorders>
            <w:shd w:val="clear" w:color="000000" w:fill="FFFFFF"/>
            <w:vAlign w:val="center"/>
            <w:hideMark/>
          </w:tcPr>
          <w:p w14:paraId="5D75CE08" w14:textId="77777777" w:rsidR="00701F18" w:rsidRPr="00701F18" w:rsidRDefault="00701F18" w:rsidP="00701F18">
            <w:pPr>
              <w:spacing w:after="0" w:line="240" w:lineRule="auto"/>
              <w:jc w:val="center"/>
              <w:rPr>
                <w:rFonts w:ascii="Times New Roman" w:eastAsia="Times New Roman" w:hAnsi="Times New Roman" w:cs="Times New Roman"/>
                <w:color w:val="000000"/>
                <w:lang w:eastAsia="hr-HR"/>
              </w:rPr>
            </w:pPr>
            <w:r w:rsidRPr="00701F18">
              <w:rPr>
                <w:rFonts w:ascii="Times New Roman" w:eastAsia="Times New Roman" w:hAnsi="Times New Roman" w:cs="Times New Roman"/>
                <w:color w:val="000000"/>
                <w:lang w:eastAsia="hr-HR"/>
              </w:rPr>
              <w:t>36</w:t>
            </w:r>
          </w:p>
        </w:tc>
      </w:tr>
      <w:tr w:rsidR="00701F18" w:rsidRPr="00701F18" w14:paraId="3675E925" w14:textId="77777777" w:rsidTr="00701F18">
        <w:trPr>
          <w:trHeight w:val="360"/>
        </w:trPr>
        <w:tc>
          <w:tcPr>
            <w:tcW w:w="6658" w:type="dxa"/>
            <w:tcBorders>
              <w:top w:val="nil"/>
              <w:left w:val="single" w:sz="4" w:space="0" w:color="auto"/>
              <w:bottom w:val="single" w:sz="4" w:space="0" w:color="auto"/>
              <w:right w:val="single" w:sz="4" w:space="0" w:color="auto"/>
            </w:tcBorders>
            <w:shd w:val="clear" w:color="000000" w:fill="FFFFFF"/>
            <w:vAlign w:val="center"/>
            <w:hideMark/>
          </w:tcPr>
          <w:p w14:paraId="14696AFD" w14:textId="77777777" w:rsidR="00701F18" w:rsidRPr="00701F18" w:rsidRDefault="00701F18" w:rsidP="00701F18">
            <w:pPr>
              <w:spacing w:after="0" w:line="240" w:lineRule="auto"/>
              <w:jc w:val="center"/>
              <w:rPr>
                <w:rFonts w:ascii="Times New Roman" w:eastAsia="Times New Roman" w:hAnsi="Times New Roman" w:cs="Times New Roman"/>
                <w:color w:val="000000"/>
                <w:lang w:eastAsia="hr-HR"/>
              </w:rPr>
            </w:pPr>
            <w:r w:rsidRPr="00701F18">
              <w:rPr>
                <w:rFonts w:ascii="Times New Roman" w:eastAsia="Times New Roman" w:hAnsi="Times New Roman" w:cs="Times New Roman"/>
                <w:color w:val="000000"/>
                <w:lang w:eastAsia="hr-HR"/>
              </w:rPr>
              <w:t>URED – BROJ ZAMOLBI INOZEMNIM FOJ</w:t>
            </w:r>
          </w:p>
        </w:tc>
        <w:tc>
          <w:tcPr>
            <w:tcW w:w="992" w:type="dxa"/>
            <w:tcBorders>
              <w:top w:val="nil"/>
              <w:left w:val="nil"/>
              <w:bottom w:val="single" w:sz="4" w:space="0" w:color="auto"/>
              <w:right w:val="single" w:sz="4" w:space="0" w:color="auto"/>
            </w:tcBorders>
            <w:shd w:val="clear" w:color="000000" w:fill="FFFFFF"/>
            <w:vAlign w:val="center"/>
            <w:hideMark/>
          </w:tcPr>
          <w:p w14:paraId="2B3A2CBA" w14:textId="77777777" w:rsidR="00701F18" w:rsidRPr="00701F18" w:rsidRDefault="00701F18" w:rsidP="00701F18">
            <w:pPr>
              <w:spacing w:after="0" w:line="240" w:lineRule="auto"/>
              <w:jc w:val="center"/>
              <w:rPr>
                <w:rFonts w:ascii="Times New Roman" w:eastAsia="Times New Roman" w:hAnsi="Times New Roman" w:cs="Times New Roman"/>
                <w:color w:val="000000"/>
                <w:lang w:eastAsia="hr-HR"/>
              </w:rPr>
            </w:pPr>
            <w:r w:rsidRPr="00701F18">
              <w:rPr>
                <w:rFonts w:ascii="Times New Roman" w:eastAsia="Times New Roman" w:hAnsi="Times New Roman" w:cs="Times New Roman"/>
                <w:color w:val="000000"/>
                <w:lang w:eastAsia="hr-HR"/>
              </w:rPr>
              <w:t>160</w:t>
            </w:r>
          </w:p>
        </w:tc>
        <w:tc>
          <w:tcPr>
            <w:tcW w:w="850" w:type="dxa"/>
            <w:tcBorders>
              <w:top w:val="nil"/>
              <w:left w:val="nil"/>
              <w:bottom w:val="single" w:sz="4" w:space="0" w:color="auto"/>
              <w:right w:val="single" w:sz="4" w:space="0" w:color="auto"/>
            </w:tcBorders>
            <w:shd w:val="clear" w:color="000000" w:fill="FFFFFF"/>
            <w:vAlign w:val="center"/>
            <w:hideMark/>
          </w:tcPr>
          <w:p w14:paraId="71D2939D" w14:textId="77777777" w:rsidR="00701F18" w:rsidRPr="00701F18" w:rsidRDefault="00701F18" w:rsidP="00701F18">
            <w:pPr>
              <w:spacing w:after="0" w:line="240" w:lineRule="auto"/>
              <w:jc w:val="center"/>
              <w:rPr>
                <w:rFonts w:ascii="Times New Roman" w:eastAsia="Times New Roman" w:hAnsi="Times New Roman" w:cs="Times New Roman"/>
                <w:color w:val="000000"/>
                <w:lang w:eastAsia="hr-HR"/>
              </w:rPr>
            </w:pPr>
            <w:r w:rsidRPr="00701F18">
              <w:rPr>
                <w:rFonts w:ascii="Times New Roman" w:eastAsia="Times New Roman" w:hAnsi="Times New Roman" w:cs="Times New Roman"/>
                <w:color w:val="000000"/>
                <w:lang w:eastAsia="hr-HR"/>
              </w:rPr>
              <w:t>129</w:t>
            </w:r>
          </w:p>
        </w:tc>
      </w:tr>
    </w:tbl>
    <w:p w14:paraId="342BF008" w14:textId="191A9E14" w:rsidR="004665E0" w:rsidRPr="004665E0" w:rsidRDefault="00701F18" w:rsidP="004665E0">
      <w:pPr>
        <w:tabs>
          <w:tab w:val="left" w:pos="850"/>
          <w:tab w:val="left" w:pos="1191"/>
          <w:tab w:val="left" w:pos="1531"/>
        </w:tab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fldChar w:fldCharType="end"/>
      </w:r>
    </w:p>
    <w:p w14:paraId="14A42871" w14:textId="341E768B" w:rsidR="004665E0" w:rsidRPr="00701F18" w:rsidRDefault="004665E0" w:rsidP="00AE1F53">
      <w:pPr>
        <w:spacing w:after="0" w:line="240" w:lineRule="auto"/>
        <w:jc w:val="both"/>
        <w:rPr>
          <w:rFonts w:ascii="Times New Roman" w:eastAsia="SimSun" w:hAnsi="Times New Roman" w:cs="Times New Roman"/>
          <w:sz w:val="24"/>
          <w:szCs w:val="24"/>
          <w:lang w:eastAsia="zh-CN"/>
        </w:rPr>
      </w:pPr>
      <w:r w:rsidRPr="003F0F99">
        <w:rPr>
          <w:rFonts w:ascii="Times New Roman" w:eastAsia="Times New Roman" w:hAnsi="Times New Roman" w:cs="Times New Roman"/>
          <w:sz w:val="24"/>
          <w:szCs w:val="24"/>
          <w:lang w:eastAsia="hr-HR"/>
        </w:rPr>
        <w:t xml:space="preserve">U okviru dostavljenih </w:t>
      </w:r>
      <w:r w:rsidR="003F0F99" w:rsidRPr="003F0F99">
        <w:rPr>
          <w:rFonts w:ascii="Times New Roman" w:eastAsia="Times New Roman" w:hAnsi="Times New Roman" w:cs="Times New Roman"/>
          <w:sz w:val="24"/>
          <w:szCs w:val="24"/>
          <w:lang w:eastAsia="hr-HR"/>
        </w:rPr>
        <w:t>36</w:t>
      </w:r>
      <w:r w:rsidRPr="003F0F99">
        <w:rPr>
          <w:rFonts w:ascii="Times New Roman" w:eastAsia="Times New Roman" w:hAnsi="Times New Roman" w:cs="Times New Roman"/>
          <w:sz w:val="24"/>
          <w:szCs w:val="24"/>
          <w:lang w:eastAsia="hr-HR"/>
        </w:rPr>
        <w:t xml:space="preserve"> spontanih obavijesti o sumnjivim transakcijama inozemnim financijsko-obavještajnim jedinicama</w:t>
      </w:r>
      <w:r w:rsidR="00701F18">
        <w:rPr>
          <w:rFonts w:ascii="Times New Roman" w:eastAsia="Times New Roman" w:hAnsi="Times New Roman" w:cs="Times New Roman"/>
          <w:sz w:val="24"/>
          <w:szCs w:val="24"/>
          <w:lang w:eastAsia="hr-HR"/>
        </w:rPr>
        <w:t xml:space="preserve"> U 2022.</w:t>
      </w:r>
      <w:r w:rsidRPr="003F0F99">
        <w:rPr>
          <w:rFonts w:ascii="Times New Roman" w:eastAsia="Times New Roman" w:hAnsi="Times New Roman" w:cs="Times New Roman"/>
          <w:sz w:val="24"/>
          <w:szCs w:val="24"/>
          <w:lang w:eastAsia="hr-HR"/>
        </w:rPr>
        <w:t xml:space="preserve">, Ured je operativno analizirao </w:t>
      </w:r>
      <w:r w:rsidR="00E41390">
        <w:rPr>
          <w:rFonts w:ascii="Times New Roman" w:eastAsia="Times New Roman" w:hAnsi="Times New Roman" w:cs="Times New Roman"/>
          <w:sz w:val="24"/>
          <w:szCs w:val="24"/>
          <w:lang w:eastAsia="hr-HR"/>
        </w:rPr>
        <w:t>293</w:t>
      </w:r>
      <w:r w:rsidRPr="003F0F99">
        <w:rPr>
          <w:rFonts w:ascii="Times New Roman" w:eastAsia="Times New Roman" w:hAnsi="Times New Roman" w:cs="Times New Roman"/>
          <w:color w:val="FF0000"/>
          <w:sz w:val="24"/>
          <w:szCs w:val="24"/>
          <w:lang w:eastAsia="hr-HR"/>
        </w:rPr>
        <w:t xml:space="preserve"> </w:t>
      </w:r>
      <w:r w:rsidRPr="00E41390">
        <w:rPr>
          <w:rFonts w:ascii="Times New Roman" w:eastAsia="Times New Roman" w:hAnsi="Times New Roman" w:cs="Times New Roman"/>
          <w:sz w:val="24"/>
          <w:szCs w:val="24"/>
          <w:lang w:eastAsia="hr-HR"/>
        </w:rPr>
        <w:t>sumnjivih transakcija povezanih s</w:t>
      </w:r>
      <w:r w:rsidRPr="003F0F99">
        <w:rPr>
          <w:rFonts w:ascii="Times New Roman" w:eastAsia="Times New Roman" w:hAnsi="Times New Roman" w:cs="Times New Roman"/>
          <w:color w:val="FF0000"/>
          <w:sz w:val="24"/>
          <w:szCs w:val="24"/>
          <w:lang w:eastAsia="hr-HR"/>
        </w:rPr>
        <w:t xml:space="preserve"> </w:t>
      </w:r>
      <w:r w:rsidR="00E41390">
        <w:rPr>
          <w:rFonts w:ascii="Times New Roman" w:eastAsia="Times New Roman" w:hAnsi="Times New Roman" w:cs="Times New Roman"/>
          <w:sz w:val="24"/>
          <w:szCs w:val="24"/>
          <w:lang w:eastAsia="hr-HR"/>
        </w:rPr>
        <w:t>66 fizičke i pravne osobe</w:t>
      </w:r>
      <w:r w:rsidRPr="00E41390">
        <w:rPr>
          <w:rFonts w:ascii="Times New Roman" w:eastAsia="Times New Roman" w:hAnsi="Times New Roman" w:cs="Times New Roman"/>
          <w:sz w:val="24"/>
          <w:szCs w:val="24"/>
          <w:lang w:eastAsia="hr-HR"/>
        </w:rPr>
        <w:t xml:space="preserve"> kao sudionicima u sumnjivim transakcijama.</w:t>
      </w:r>
      <w:r w:rsidR="003656CA">
        <w:rPr>
          <w:rFonts w:ascii="Times New Roman" w:eastAsia="Times New Roman" w:hAnsi="Times New Roman" w:cs="Times New Roman"/>
          <w:sz w:val="24"/>
          <w:szCs w:val="24"/>
          <w:lang w:eastAsia="hr-HR"/>
        </w:rPr>
        <w:t xml:space="preserve"> </w:t>
      </w:r>
    </w:p>
    <w:p w14:paraId="69FC825F" w14:textId="77777777" w:rsidR="000C417F" w:rsidRDefault="000C417F" w:rsidP="00A46D3A">
      <w:pPr>
        <w:tabs>
          <w:tab w:val="left" w:pos="850"/>
          <w:tab w:val="left" w:pos="1191"/>
          <w:tab w:val="left" w:pos="1531"/>
        </w:tabs>
        <w:spacing w:after="0" w:line="240" w:lineRule="auto"/>
        <w:jc w:val="both"/>
        <w:rPr>
          <w:rFonts w:ascii="Times New Roman" w:eastAsia="SimSun" w:hAnsi="Times New Roman" w:cs="Times New Roman"/>
          <w:sz w:val="24"/>
          <w:szCs w:val="24"/>
          <w:lang w:eastAsia="zh-CN"/>
        </w:rPr>
      </w:pPr>
    </w:p>
    <w:p w14:paraId="172275F8" w14:textId="79D3CD6A" w:rsidR="004665E0" w:rsidRPr="004665E0" w:rsidRDefault="004665E0" w:rsidP="00A46D3A">
      <w:pPr>
        <w:tabs>
          <w:tab w:val="left" w:pos="850"/>
          <w:tab w:val="left" w:pos="1191"/>
          <w:tab w:val="left" w:pos="1531"/>
        </w:tabs>
        <w:spacing w:after="0" w:line="240" w:lineRule="auto"/>
        <w:jc w:val="both"/>
        <w:rPr>
          <w:rFonts w:ascii="Times New Roman" w:eastAsia="SimSun" w:hAnsi="Times New Roman" w:cs="Times New Roman"/>
          <w:b/>
          <w:strike/>
          <w:color w:val="323E4F"/>
          <w:sz w:val="20"/>
          <w:szCs w:val="20"/>
          <w:lang w:eastAsia="zh-CN"/>
        </w:rPr>
      </w:pPr>
      <w:r w:rsidRPr="004665E0">
        <w:rPr>
          <w:rFonts w:ascii="Times New Roman" w:eastAsia="SimSun" w:hAnsi="Times New Roman" w:cs="Times New Roman"/>
          <w:sz w:val="24"/>
          <w:szCs w:val="24"/>
          <w:lang w:eastAsia="zh-CN"/>
        </w:rPr>
        <w:lastRenderedPageBreak/>
        <w:t xml:space="preserve">Ured svakodnevno </w:t>
      </w:r>
      <w:r w:rsidR="00CE631B">
        <w:rPr>
          <w:rFonts w:ascii="Times New Roman" w:eastAsia="SimSun" w:hAnsi="Times New Roman" w:cs="Times New Roman"/>
          <w:sz w:val="24"/>
          <w:szCs w:val="24"/>
          <w:lang w:eastAsia="zh-CN"/>
        </w:rPr>
        <w:t>posredstvom</w:t>
      </w:r>
      <w:r w:rsidRPr="004665E0">
        <w:rPr>
          <w:rFonts w:ascii="Times New Roman" w:eastAsia="SimSun" w:hAnsi="Times New Roman" w:cs="Times New Roman"/>
          <w:sz w:val="24"/>
          <w:szCs w:val="24"/>
          <w:lang w:eastAsia="zh-CN"/>
        </w:rPr>
        <w:t xml:space="preserve"> Egmont Secure Web i FIU.net mreže razmjenjuje podatke sa inozemnim financijsko-obavještajnim jedinicama u cilju</w:t>
      </w:r>
      <w:r w:rsidRPr="004665E0">
        <w:rPr>
          <w:rFonts w:ascii="Times New Roman" w:eastAsia="Calibri" w:hAnsi="Times New Roman" w:cs="Times New Roman"/>
          <w:sz w:val="24"/>
          <w:szCs w:val="24"/>
        </w:rPr>
        <w:t xml:space="preserve"> sprječavanja i otkrivanja pranja novca, predikatnih kaznenih djela i financiranja terorizma.</w:t>
      </w:r>
      <w:r w:rsidRPr="004665E0">
        <w:rPr>
          <w:rFonts w:ascii="Times New Roman" w:eastAsia="Calibri" w:hAnsi="Times New Roman" w:cs="Times New Roman"/>
          <w:sz w:val="24"/>
          <w:szCs w:val="24"/>
          <w:lang w:eastAsia="zh-CN"/>
        </w:rPr>
        <w:t xml:space="preserve"> </w:t>
      </w:r>
    </w:p>
    <w:p w14:paraId="20145D73" w14:textId="77777777" w:rsidR="00A46D3A" w:rsidRDefault="00A46D3A" w:rsidP="00A46D3A">
      <w:pPr>
        <w:spacing w:after="0" w:line="240" w:lineRule="auto"/>
        <w:jc w:val="both"/>
        <w:rPr>
          <w:rFonts w:ascii="Times New Roman" w:eastAsia="Calibri" w:hAnsi="Times New Roman" w:cs="Times New Roman"/>
          <w:sz w:val="24"/>
          <w:szCs w:val="24"/>
        </w:rPr>
      </w:pPr>
    </w:p>
    <w:p w14:paraId="79527168" w14:textId="260E23DD" w:rsidR="00FD171C" w:rsidRPr="00CF4B6B" w:rsidRDefault="00A46D3A" w:rsidP="00323199">
      <w:pPr>
        <w:spacing w:after="0" w:line="240" w:lineRule="auto"/>
        <w:jc w:val="both"/>
        <w:rPr>
          <w:rFonts w:ascii="Times New Roman" w:eastAsia="Calibri" w:hAnsi="Times New Roman" w:cs="Times New Roman"/>
          <w:sz w:val="24"/>
          <w:szCs w:val="24"/>
        </w:rPr>
      </w:pPr>
      <w:r w:rsidRPr="00A46D3A">
        <w:rPr>
          <w:rFonts w:ascii="Times New Roman" w:eastAsia="Calibri" w:hAnsi="Times New Roman" w:cs="Times New Roman"/>
          <w:sz w:val="24"/>
          <w:szCs w:val="24"/>
        </w:rPr>
        <w:t>Ured je u 2022. poslao inozemnim financijsko-obavještajnim jedinicama ukupno 349 akata (zamolbe za podatcima, odgovori, spontane dostave podataka, požurnice, feedback i dr.) u 46 države, a od inozemnih financijsko obavještajnih jedinica iz 56 država zaprimio ukupno 567 akta (zamolbe za podatcima, odgovori, spontane dostave podataka, požurnice, feedback i dr.)</w:t>
      </w:r>
      <w:r w:rsidRPr="00A46D3A">
        <w:rPr>
          <w:rFonts w:ascii="Times New Roman" w:eastAsia="Times New Roman" w:hAnsi="Times New Roman" w:cs="Times New Roman"/>
          <w:sz w:val="24"/>
          <w:szCs w:val="24"/>
          <w:lang w:eastAsia="hr-HR"/>
        </w:rPr>
        <w:t xml:space="preserve"> vezano </w:t>
      </w:r>
      <w:r w:rsidR="00CE631B">
        <w:rPr>
          <w:rFonts w:ascii="Times New Roman" w:eastAsia="Times New Roman" w:hAnsi="Times New Roman" w:cs="Times New Roman"/>
          <w:sz w:val="24"/>
          <w:szCs w:val="24"/>
          <w:lang w:eastAsia="hr-HR"/>
        </w:rPr>
        <w:t>uz</w:t>
      </w:r>
      <w:r w:rsidRPr="00A46D3A">
        <w:rPr>
          <w:rFonts w:ascii="Times New Roman" w:eastAsia="Times New Roman" w:hAnsi="Times New Roman" w:cs="Times New Roman"/>
          <w:sz w:val="24"/>
          <w:szCs w:val="24"/>
          <w:lang w:eastAsia="hr-HR"/>
        </w:rPr>
        <w:t xml:space="preserve"> konkretne slučajeve pranja novca i financiranja terorizma</w:t>
      </w:r>
      <w:r w:rsidRPr="00A46D3A">
        <w:rPr>
          <w:rFonts w:ascii="Times New Roman" w:eastAsia="Calibri" w:hAnsi="Times New Roman" w:cs="Times New Roman"/>
          <w:sz w:val="24"/>
          <w:szCs w:val="24"/>
        </w:rPr>
        <w:t xml:space="preserve">, kako je prikazano u </w:t>
      </w:r>
      <w:r w:rsidR="005323C8">
        <w:rPr>
          <w:rFonts w:ascii="Times New Roman" w:eastAsia="Calibri" w:hAnsi="Times New Roman" w:cs="Times New Roman"/>
          <w:sz w:val="24"/>
          <w:szCs w:val="24"/>
        </w:rPr>
        <w:t xml:space="preserve">Tablici </w:t>
      </w:r>
      <w:r w:rsidR="0010224B">
        <w:rPr>
          <w:rFonts w:ascii="Times New Roman" w:eastAsia="Calibri" w:hAnsi="Times New Roman" w:cs="Times New Roman"/>
          <w:sz w:val="24"/>
          <w:szCs w:val="24"/>
        </w:rPr>
        <w:t>8</w:t>
      </w:r>
      <w:r w:rsidR="005323C8">
        <w:rPr>
          <w:rFonts w:ascii="Times New Roman" w:eastAsia="Calibri" w:hAnsi="Times New Roman" w:cs="Times New Roman"/>
          <w:sz w:val="24"/>
          <w:szCs w:val="24"/>
        </w:rPr>
        <w:t>.</w:t>
      </w:r>
    </w:p>
    <w:p w14:paraId="1E02D1BF" w14:textId="2AB94F27" w:rsidR="00210E51" w:rsidRDefault="00210E51" w:rsidP="00052721">
      <w:pPr>
        <w:tabs>
          <w:tab w:val="num" w:pos="1254"/>
        </w:tabs>
        <w:spacing w:after="0" w:line="240" w:lineRule="auto"/>
        <w:jc w:val="both"/>
      </w:pPr>
      <w:r>
        <w:fldChar w:fldCharType="begin"/>
      </w:r>
      <w:r>
        <w:instrText xml:space="preserve"> LINK Excel.Sheet.12 "C:\\Users\\abilus\\Desktop\\Posao\\TABLICE ANALITIKE.xlsx" "List5!R1C1:R11C5" \a \f 4 \h  \* MERGEFORMAT </w:instrText>
      </w:r>
      <w:r>
        <w:fldChar w:fldCharType="separate"/>
      </w:r>
    </w:p>
    <w:tbl>
      <w:tblPr>
        <w:tblW w:w="8642" w:type="dxa"/>
        <w:tblLook w:val="04A0" w:firstRow="1" w:lastRow="0" w:firstColumn="1" w:lastColumn="0" w:noHBand="0" w:noVBand="1"/>
      </w:tblPr>
      <w:tblGrid>
        <w:gridCol w:w="3120"/>
        <w:gridCol w:w="1837"/>
        <w:gridCol w:w="850"/>
        <w:gridCol w:w="1701"/>
        <w:gridCol w:w="1134"/>
      </w:tblGrid>
      <w:tr w:rsidR="00210E51" w:rsidRPr="00210E51" w14:paraId="3330C333" w14:textId="77777777" w:rsidTr="00210E51">
        <w:trPr>
          <w:trHeight w:val="288"/>
        </w:trPr>
        <w:tc>
          <w:tcPr>
            <w:tcW w:w="312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78671D" w14:textId="1BBF894B" w:rsidR="00210E51" w:rsidRPr="00210E51" w:rsidRDefault="00210E51" w:rsidP="00210E51">
            <w:pPr>
              <w:spacing w:after="0" w:line="240" w:lineRule="auto"/>
              <w:jc w:val="center"/>
              <w:rPr>
                <w:rFonts w:ascii="Times New Roman" w:eastAsia="Times New Roman" w:hAnsi="Times New Roman" w:cs="Times New Roman"/>
                <w:b/>
                <w:bCs/>
                <w:color w:val="000000"/>
                <w:sz w:val="24"/>
                <w:szCs w:val="24"/>
                <w:lang w:eastAsia="hr-HR"/>
              </w:rPr>
            </w:pPr>
            <w:r w:rsidRPr="00210E51">
              <w:rPr>
                <w:rFonts w:ascii="Times New Roman" w:eastAsia="Calibri" w:hAnsi="Times New Roman" w:cs="Times New Roman"/>
                <w:b/>
                <w:bCs/>
                <w:color w:val="000000"/>
                <w:sz w:val="24"/>
                <w:szCs w:val="24"/>
                <w:lang w:eastAsia="hr-HR"/>
              </w:rPr>
              <w:t>Vrsta akta</w:t>
            </w:r>
          </w:p>
        </w:tc>
        <w:tc>
          <w:tcPr>
            <w:tcW w:w="26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1875AA" w14:textId="77777777" w:rsidR="00210E51" w:rsidRPr="00210E51" w:rsidRDefault="00210E51" w:rsidP="00210E51">
            <w:pPr>
              <w:spacing w:after="0" w:line="240" w:lineRule="auto"/>
              <w:jc w:val="center"/>
              <w:rPr>
                <w:rFonts w:ascii="Times New Roman" w:eastAsia="Times New Roman" w:hAnsi="Times New Roman" w:cs="Times New Roman"/>
                <w:b/>
                <w:bCs/>
                <w:color w:val="000000"/>
                <w:lang w:eastAsia="hr-HR"/>
              </w:rPr>
            </w:pPr>
            <w:r w:rsidRPr="00210E51">
              <w:rPr>
                <w:rFonts w:ascii="Times New Roman" w:eastAsia="Times New Roman" w:hAnsi="Times New Roman" w:cs="Times New Roman"/>
                <w:b/>
                <w:bCs/>
                <w:color w:val="000000"/>
                <w:lang w:eastAsia="hr-HR"/>
              </w:rPr>
              <w:t>2021</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66C217" w14:textId="77777777" w:rsidR="00210E51" w:rsidRPr="00210E51" w:rsidRDefault="00210E51" w:rsidP="00210E51">
            <w:pPr>
              <w:spacing w:after="0" w:line="240" w:lineRule="auto"/>
              <w:jc w:val="center"/>
              <w:rPr>
                <w:rFonts w:ascii="Times New Roman" w:eastAsia="Times New Roman" w:hAnsi="Times New Roman" w:cs="Times New Roman"/>
                <w:b/>
                <w:bCs/>
                <w:color w:val="000000"/>
                <w:lang w:eastAsia="hr-HR"/>
              </w:rPr>
            </w:pPr>
            <w:r w:rsidRPr="00210E51">
              <w:rPr>
                <w:rFonts w:ascii="Times New Roman" w:eastAsia="Times New Roman" w:hAnsi="Times New Roman" w:cs="Times New Roman"/>
                <w:b/>
                <w:bCs/>
                <w:color w:val="000000"/>
                <w:lang w:eastAsia="hr-HR"/>
              </w:rPr>
              <w:t>2022</w:t>
            </w:r>
          </w:p>
        </w:tc>
      </w:tr>
      <w:tr w:rsidR="00210E51" w:rsidRPr="00210E51" w14:paraId="64A74D27" w14:textId="77777777" w:rsidTr="00210E51">
        <w:trPr>
          <w:trHeight w:val="552"/>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70BD4302" w14:textId="77777777" w:rsidR="00210E51" w:rsidRPr="00210E51" w:rsidRDefault="00210E51" w:rsidP="00210E51">
            <w:pPr>
              <w:spacing w:after="0" w:line="240" w:lineRule="auto"/>
              <w:rPr>
                <w:rFonts w:ascii="Times New Roman" w:eastAsia="Times New Roman" w:hAnsi="Times New Roman" w:cs="Times New Roman"/>
                <w:b/>
                <w:bCs/>
                <w:color w:val="000000"/>
                <w:sz w:val="24"/>
                <w:szCs w:val="24"/>
                <w:lang w:eastAsia="hr-HR"/>
              </w:rPr>
            </w:pPr>
          </w:p>
        </w:tc>
        <w:tc>
          <w:tcPr>
            <w:tcW w:w="1837" w:type="dxa"/>
            <w:tcBorders>
              <w:top w:val="nil"/>
              <w:left w:val="nil"/>
              <w:bottom w:val="single" w:sz="4" w:space="0" w:color="auto"/>
              <w:right w:val="single" w:sz="4" w:space="0" w:color="auto"/>
            </w:tcBorders>
            <w:shd w:val="clear" w:color="000000" w:fill="FFFFFF"/>
            <w:vAlign w:val="center"/>
            <w:hideMark/>
          </w:tcPr>
          <w:p w14:paraId="27C08882"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Akti inozemnih FOJ</w:t>
            </w:r>
          </w:p>
        </w:tc>
        <w:tc>
          <w:tcPr>
            <w:tcW w:w="850" w:type="dxa"/>
            <w:tcBorders>
              <w:top w:val="nil"/>
              <w:left w:val="nil"/>
              <w:bottom w:val="single" w:sz="4" w:space="0" w:color="auto"/>
              <w:right w:val="single" w:sz="4" w:space="0" w:color="auto"/>
            </w:tcBorders>
            <w:shd w:val="clear" w:color="000000" w:fill="FFFFFF"/>
            <w:vAlign w:val="center"/>
            <w:hideMark/>
          </w:tcPr>
          <w:p w14:paraId="2041A28B"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Akti Ureda</w:t>
            </w:r>
          </w:p>
        </w:tc>
        <w:tc>
          <w:tcPr>
            <w:tcW w:w="1701" w:type="dxa"/>
            <w:tcBorders>
              <w:top w:val="nil"/>
              <w:left w:val="nil"/>
              <w:bottom w:val="single" w:sz="4" w:space="0" w:color="auto"/>
              <w:right w:val="single" w:sz="4" w:space="0" w:color="auto"/>
            </w:tcBorders>
            <w:shd w:val="clear" w:color="000000" w:fill="FFFFFF"/>
            <w:vAlign w:val="center"/>
            <w:hideMark/>
          </w:tcPr>
          <w:p w14:paraId="110574A2"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Akti inozemnih FOJ</w:t>
            </w:r>
          </w:p>
        </w:tc>
        <w:tc>
          <w:tcPr>
            <w:tcW w:w="1134" w:type="dxa"/>
            <w:tcBorders>
              <w:top w:val="nil"/>
              <w:left w:val="nil"/>
              <w:bottom w:val="single" w:sz="4" w:space="0" w:color="auto"/>
              <w:right w:val="single" w:sz="4" w:space="0" w:color="auto"/>
            </w:tcBorders>
            <w:shd w:val="clear" w:color="000000" w:fill="FFFFFF"/>
            <w:vAlign w:val="center"/>
            <w:hideMark/>
          </w:tcPr>
          <w:p w14:paraId="19581EEE"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Akti Ureda</w:t>
            </w:r>
          </w:p>
        </w:tc>
      </w:tr>
      <w:tr w:rsidR="00210E51" w:rsidRPr="00210E51" w14:paraId="7E1946F3" w14:textId="77777777" w:rsidTr="00210E51">
        <w:trPr>
          <w:trHeight w:val="276"/>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14:paraId="0147AFF5" w14:textId="77777777" w:rsidR="00210E51" w:rsidRPr="00210E51" w:rsidRDefault="00210E51" w:rsidP="00210E51">
            <w:pPr>
              <w:spacing w:after="0" w:line="240" w:lineRule="auto"/>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Odgovor</w:t>
            </w:r>
          </w:p>
        </w:tc>
        <w:tc>
          <w:tcPr>
            <w:tcW w:w="1837" w:type="dxa"/>
            <w:tcBorders>
              <w:top w:val="nil"/>
              <w:left w:val="nil"/>
              <w:bottom w:val="single" w:sz="4" w:space="0" w:color="auto"/>
              <w:right w:val="single" w:sz="4" w:space="0" w:color="auto"/>
            </w:tcBorders>
            <w:shd w:val="clear" w:color="000000" w:fill="FFFFFF"/>
            <w:noWrap/>
            <w:vAlign w:val="bottom"/>
            <w:hideMark/>
          </w:tcPr>
          <w:p w14:paraId="3635F4DD"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227</w:t>
            </w:r>
          </w:p>
        </w:tc>
        <w:tc>
          <w:tcPr>
            <w:tcW w:w="850" w:type="dxa"/>
            <w:tcBorders>
              <w:top w:val="nil"/>
              <w:left w:val="nil"/>
              <w:bottom w:val="single" w:sz="4" w:space="0" w:color="auto"/>
              <w:right w:val="single" w:sz="4" w:space="0" w:color="auto"/>
            </w:tcBorders>
            <w:shd w:val="clear" w:color="000000" w:fill="FFFFFF"/>
            <w:noWrap/>
            <w:vAlign w:val="bottom"/>
            <w:hideMark/>
          </w:tcPr>
          <w:p w14:paraId="4EFF983A"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145</w:t>
            </w:r>
          </w:p>
        </w:tc>
        <w:tc>
          <w:tcPr>
            <w:tcW w:w="1701" w:type="dxa"/>
            <w:tcBorders>
              <w:top w:val="nil"/>
              <w:left w:val="nil"/>
              <w:bottom w:val="single" w:sz="4" w:space="0" w:color="auto"/>
              <w:right w:val="single" w:sz="4" w:space="0" w:color="auto"/>
            </w:tcBorders>
            <w:shd w:val="clear" w:color="000000" w:fill="FFFFFF"/>
            <w:noWrap/>
            <w:vAlign w:val="center"/>
            <w:hideMark/>
          </w:tcPr>
          <w:p w14:paraId="3E7FDB7C"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260</w:t>
            </w:r>
          </w:p>
        </w:tc>
        <w:tc>
          <w:tcPr>
            <w:tcW w:w="1134" w:type="dxa"/>
            <w:tcBorders>
              <w:top w:val="nil"/>
              <w:left w:val="nil"/>
              <w:bottom w:val="single" w:sz="4" w:space="0" w:color="auto"/>
              <w:right w:val="single" w:sz="4" w:space="0" w:color="auto"/>
            </w:tcBorders>
            <w:shd w:val="clear" w:color="000000" w:fill="FFFFFF"/>
            <w:noWrap/>
            <w:vAlign w:val="center"/>
            <w:hideMark/>
          </w:tcPr>
          <w:p w14:paraId="4A140BE6"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88</w:t>
            </w:r>
          </w:p>
        </w:tc>
      </w:tr>
      <w:tr w:rsidR="00210E51" w:rsidRPr="00210E51" w14:paraId="39E33E85" w14:textId="77777777" w:rsidTr="00210E51">
        <w:trPr>
          <w:trHeight w:val="276"/>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14:paraId="2AC3D4A9" w14:textId="77777777" w:rsidR="00210E51" w:rsidRPr="00210E51" w:rsidRDefault="00210E51" w:rsidP="00210E51">
            <w:pPr>
              <w:spacing w:after="0" w:line="240" w:lineRule="auto"/>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Zamolba za dostavom podataka</w:t>
            </w:r>
          </w:p>
        </w:tc>
        <w:tc>
          <w:tcPr>
            <w:tcW w:w="1837" w:type="dxa"/>
            <w:tcBorders>
              <w:top w:val="nil"/>
              <w:left w:val="nil"/>
              <w:bottom w:val="single" w:sz="4" w:space="0" w:color="auto"/>
              <w:right w:val="single" w:sz="4" w:space="0" w:color="auto"/>
            </w:tcBorders>
            <w:shd w:val="clear" w:color="000000" w:fill="FFFFFF"/>
            <w:noWrap/>
            <w:vAlign w:val="bottom"/>
            <w:hideMark/>
          </w:tcPr>
          <w:p w14:paraId="35C21EF4"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135</w:t>
            </w:r>
          </w:p>
        </w:tc>
        <w:tc>
          <w:tcPr>
            <w:tcW w:w="850" w:type="dxa"/>
            <w:tcBorders>
              <w:top w:val="nil"/>
              <w:left w:val="nil"/>
              <w:bottom w:val="single" w:sz="4" w:space="0" w:color="auto"/>
              <w:right w:val="single" w:sz="4" w:space="0" w:color="auto"/>
            </w:tcBorders>
            <w:shd w:val="clear" w:color="000000" w:fill="FFFFFF"/>
            <w:noWrap/>
            <w:vAlign w:val="bottom"/>
            <w:hideMark/>
          </w:tcPr>
          <w:p w14:paraId="732A3C05"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160</w:t>
            </w:r>
          </w:p>
        </w:tc>
        <w:tc>
          <w:tcPr>
            <w:tcW w:w="1701" w:type="dxa"/>
            <w:tcBorders>
              <w:top w:val="nil"/>
              <w:left w:val="nil"/>
              <w:bottom w:val="single" w:sz="4" w:space="0" w:color="auto"/>
              <w:right w:val="single" w:sz="4" w:space="0" w:color="auto"/>
            </w:tcBorders>
            <w:shd w:val="clear" w:color="000000" w:fill="FFFFFF"/>
            <w:noWrap/>
            <w:vAlign w:val="center"/>
            <w:hideMark/>
          </w:tcPr>
          <w:p w14:paraId="364D93AA"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101</w:t>
            </w:r>
          </w:p>
        </w:tc>
        <w:tc>
          <w:tcPr>
            <w:tcW w:w="1134" w:type="dxa"/>
            <w:tcBorders>
              <w:top w:val="nil"/>
              <w:left w:val="nil"/>
              <w:bottom w:val="single" w:sz="4" w:space="0" w:color="auto"/>
              <w:right w:val="single" w:sz="4" w:space="0" w:color="auto"/>
            </w:tcBorders>
            <w:shd w:val="clear" w:color="000000" w:fill="FFFFFF"/>
            <w:noWrap/>
            <w:vAlign w:val="center"/>
            <w:hideMark/>
          </w:tcPr>
          <w:p w14:paraId="5926A05F"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129</w:t>
            </w:r>
          </w:p>
        </w:tc>
      </w:tr>
      <w:tr w:rsidR="00210E51" w:rsidRPr="00210E51" w14:paraId="4BC447DF" w14:textId="77777777" w:rsidTr="00210E51">
        <w:trPr>
          <w:trHeight w:val="276"/>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14:paraId="5DE23E45" w14:textId="77777777" w:rsidR="00210E51" w:rsidRPr="00210E51" w:rsidRDefault="00210E51" w:rsidP="00210E51">
            <w:pPr>
              <w:spacing w:after="0" w:line="240" w:lineRule="auto"/>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Spontana dostava podataka</w:t>
            </w:r>
          </w:p>
        </w:tc>
        <w:tc>
          <w:tcPr>
            <w:tcW w:w="1837" w:type="dxa"/>
            <w:tcBorders>
              <w:top w:val="nil"/>
              <w:left w:val="nil"/>
              <w:bottom w:val="single" w:sz="4" w:space="0" w:color="auto"/>
              <w:right w:val="single" w:sz="4" w:space="0" w:color="auto"/>
            </w:tcBorders>
            <w:shd w:val="clear" w:color="000000" w:fill="FFFFFF"/>
            <w:noWrap/>
            <w:vAlign w:val="bottom"/>
            <w:hideMark/>
          </w:tcPr>
          <w:p w14:paraId="4B7BC19F"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142</w:t>
            </w:r>
          </w:p>
        </w:tc>
        <w:tc>
          <w:tcPr>
            <w:tcW w:w="850" w:type="dxa"/>
            <w:tcBorders>
              <w:top w:val="nil"/>
              <w:left w:val="nil"/>
              <w:bottom w:val="single" w:sz="4" w:space="0" w:color="auto"/>
              <w:right w:val="single" w:sz="4" w:space="0" w:color="auto"/>
            </w:tcBorders>
            <w:shd w:val="clear" w:color="000000" w:fill="FFFFFF"/>
            <w:noWrap/>
            <w:vAlign w:val="bottom"/>
            <w:hideMark/>
          </w:tcPr>
          <w:p w14:paraId="65BFC175"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086D9766"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97</w:t>
            </w:r>
          </w:p>
        </w:tc>
        <w:tc>
          <w:tcPr>
            <w:tcW w:w="1134" w:type="dxa"/>
            <w:tcBorders>
              <w:top w:val="nil"/>
              <w:left w:val="nil"/>
              <w:bottom w:val="single" w:sz="4" w:space="0" w:color="auto"/>
              <w:right w:val="single" w:sz="4" w:space="0" w:color="auto"/>
            </w:tcBorders>
            <w:shd w:val="clear" w:color="000000" w:fill="FFFFFF"/>
            <w:noWrap/>
            <w:vAlign w:val="center"/>
            <w:hideMark/>
          </w:tcPr>
          <w:p w14:paraId="6F55DB20"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36</w:t>
            </w:r>
          </w:p>
        </w:tc>
      </w:tr>
      <w:tr w:rsidR="00210E51" w:rsidRPr="00210E51" w14:paraId="293AC5B0" w14:textId="77777777" w:rsidTr="00210E51">
        <w:trPr>
          <w:trHeight w:val="276"/>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14:paraId="4406098F" w14:textId="77777777" w:rsidR="00210E51" w:rsidRPr="00210E51" w:rsidRDefault="00210E51" w:rsidP="00210E51">
            <w:pPr>
              <w:spacing w:after="0" w:line="240" w:lineRule="auto"/>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Zamolba za suglasnost</w:t>
            </w:r>
          </w:p>
        </w:tc>
        <w:tc>
          <w:tcPr>
            <w:tcW w:w="1837" w:type="dxa"/>
            <w:tcBorders>
              <w:top w:val="nil"/>
              <w:left w:val="nil"/>
              <w:bottom w:val="single" w:sz="4" w:space="0" w:color="auto"/>
              <w:right w:val="single" w:sz="4" w:space="0" w:color="auto"/>
            </w:tcBorders>
            <w:shd w:val="clear" w:color="000000" w:fill="FFFFFF"/>
            <w:noWrap/>
            <w:vAlign w:val="bottom"/>
            <w:hideMark/>
          </w:tcPr>
          <w:p w14:paraId="36A97ABB"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4</w:t>
            </w:r>
          </w:p>
        </w:tc>
        <w:tc>
          <w:tcPr>
            <w:tcW w:w="850" w:type="dxa"/>
            <w:tcBorders>
              <w:top w:val="nil"/>
              <w:left w:val="nil"/>
              <w:bottom w:val="single" w:sz="4" w:space="0" w:color="auto"/>
              <w:right w:val="single" w:sz="4" w:space="0" w:color="auto"/>
            </w:tcBorders>
            <w:shd w:val="clear" w:color="000000" w:fill="FFFFFF"/>
            <w:noWrap/>
            <w:vAlign w:val="bottom"/>
            <w:hideMark/>
          </w:tcPr>
          <w:p w14:paraId="1ED63239"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7</w:t>
            </w:r>
          </w:p>
        </w:tc>
        <w:tc>
          <w:tcPr>
            <w:tcW w:w="1701" w:type="dxa"/>
            <w:tcBorders>
              <w:top w:val="nil"/>
              <w:left w:val="nil"/>
              <w:bottom w:val="single" w:sz="4" w:space="0" w:color="auto"/>
              <w:right w:val="single" w:sz="4" w:space="0" w:color="auto"/>
            </w:tcBorders>
            <w:shd w:val="clear" w:color="000000" w:fill="FFFFFF"/>
            <w:noWrap/>
            <w:vAlign w:val="center"/>
            <w:hideMark/>
          </w:tcPr>
          <w:p w14:paraId="1A5189D4"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45214AAE"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5</w:t>
            </w:r>
          </w:p>
        </w:tc>
      </w:tr>
      <w:tr w:rsidR="00210E51" w:rsidRPr="00210E51" w14:paraId="52DD7581" w14:textId="77777777" w:rsidTr="00210E51">
        <w:trPr>
          <w:trHeight w:val="276"/>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14:paraId="4EBEA78F" w14:textId="77777777" w:rsidR="00210E51" w:rsidRPr="00210E51" w:rsidRDefault="00210E51" w:rsidP="00210E51">
            <w:pPr>
              <w:spacing w:after="0" w:line="240" w:lineRule="auto"/>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Suglasnost</w:t>
            </w:r>
          </w:p>
        </w:tc>
        <w:tc>
          <w:tcPr>
            <w:tcW w:w="1837" w:type="dxa"/>
            <w:tcBorders>
              <w:top w:val="nil"/>
              <w:left w:val="nil"/>
              <w:bottom w:val="single" w:sz="4" w:space="0" w:color="auto"/>
              <w:right w:val="single" w:sz="4" w:space="0" w:color="auto"/>
            </w:tcBorders>
            <w:shd w:val="clear" w:color="000000" w:fill="FFFFFF"/>
            <w:noWrap/>
            <w:vAlign w:val="bottom"/>
            <w:hideMark/>
          </w:tcPr>
          <w:p w14:paraId="032F02C1"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26</w:t>
            </w:r>
          </w:p>
        </w:tc>
        <w:tc>
          <w:tcPr>
            <w:tcW w:w="850" w:type="dxa"/>
            <w:tcBorders>
              <w:top w:val="nil"/>
              <w:left w:val="nil"/>
              <w:bottom w:val="single" w:sz="4" w:space="0" w:color="auto"/>
              <w:right w:val="single" w:sz="4" w:space="0" w:color="auto"/>
            </w:tcBorders>
            <w:shd w:val="clear" w:color="000000" w:fill="FFFFFF"/>
            <w:noWrap/>
            <w:vAlign w:val="bottom"/>
            <w:hideMark/>
          </w:tcPr>
          <w:p w14:paraId="3D894582"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8</w:t>
            </w:r>
          </w:p>
        </w:tc>
        <w:tc>
          <w:tcPr>
            <w:tcW w:w="1701" w:type="dxa"/>
            <w:tcBorders>
              <w:top w:val="nil"/>
              <w:left w:val="nil"/>
              <w:bottom w:val="single" w:sz="4" w:space="0" w:color="auto"/>
              <w:right w:val="single" w:sz="4" w:space="0" w:color="auto"/>
            </w:tcBorders>
            <w:shd w:val="clear" w:color="000000" w:fill="FFFFFF"/>
            <w:noWrap/>
            <w:vAlign w:val="center"/>
            <w:hideMark/>
          </w:tcPr>
          <w:p w14:paraId="563C6A30"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16</w:t>
            </w:r>
          </w:p>
        </w:tc>
        <w:tc>
          <w:tcPr>
            <w:tcW w:w="1134" w:type="dxa"/>
            <w:tcBorders>
              <w:top w:val="nil"/>
              <w:left w:val="nil"/>
              <w:bottom w:val="single" w:sz="4" w:space="0" w:color="auto"/>
              <w:right w:val="single" w:sz="4" w:space="0" w:color="auto"/>
            </w:tcBorders>
            <w:shd w:val="clear" w:color="000000" w:fill="FFFFFF"/>
            <w:noWrap/>
            <w:vAlign w:val="center"/>
            <w:hideMark/>
          </w:tcPr>
          <w:p w14:paraId="66C29BBC"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8</w:t>
            </w:r>
          </w:p>
        </w:tc>
      </w:tr>
      <w:tr w:rsidR="00210E51" w:rsidRPr="00210E51" w14:paraId="6AD00B63" w14:textId="77777777" w:rsidTr="00210E51">
        <w:trPr>
          <w:trHeight w:val="276"/>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14:paraId="14F1B985" w14:textId="77777777" w:rsidR="00210E51" w:rsidRPr="00210E51" w:rsidRDefault="00210E51" w:rsidP="00210E51">
            <w:pPr>
              <w:spacing w:after="0" w:line="240" w:lineRule="auto"/>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Požurnica</w:t>
            </w:r>
          </w:p>
        </w:tc>
        <w:tc>
          <w:tcPr>
            <w:tcW w:w="1837" w:type="dxa"/>
            <w:tcBorders>
              <w:top w:val="nil"/>
              <w:left w:val="nil"/>
              <w:bottom w:val="single" w:sz="4" w:space="0" w:color="auto"/>
              <w:right w:val="single" w:sz="4" w:space="0" w:color="auto"/>
            </w:tcBorders>
            <w:shd w:val="clear" w:color="000000" w:fill="FFFFFF"/>
            <w:noWrap/>
            <w:vAlign w:val="bottom"/>
            <w:hideMark/>
          </w:tcPr>
          <w:p w14:paraId="1866ED20"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43</w:t>
            </w:r>
          </w:p>
        </w:tc>
        <w:tc>
          <w:tcPr>
            <w:tcW w:w="850" w:type="dxa"/>
            <w:tcBorders>
              <w:top w:val="nil"/>
              <w:left w:val="nil"/>
              <w:bottom w:val="single" w:sz="4" w:space="0" w:color="auto"/>
              <w:right w:val="single" w:sz="4" w:space="0" w:color="auto"/>
            </w:tcBorders>
            <w:shd w:val="clear" w:color="000000" w:fill="FFFFFF"/>
            <w:noWrap/>
            <w:vAlign w:val="bottom"/>
            <w:hideMark/>
          </w:tcPr>
          <w:p w14:paraId="3FA394E1"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34</w:t>
            </w:r>
          </w:p>
        </w:tc>
        <w:tc>
          <w:tcPr>
            <w:tcW w:w="1701" w:type="dxa"/>
            <w:tcBorders>
              <w:top w:val="nil"/>
              <w:left w:val="nil"/>
              <w:bottom w:val="single" w:sz="4" w:space="0" w:color="auto"/>
              <w:right w:val="single" w:sz="4" w:space="0" w:color="auto"/>
            </w:tcBorders>
            <w:shd w:val="clear" w:color="000000" w:fill="FFFFFF"/>
            <w:noWrap/>
            <w:vAlign w:val="center"/>
            <w:hideMark/>
          </w:tcPr>
          <w:p w14:paraId="019354AF"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0C2461FE"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34</w:t>
            </w:r>
          </w:p>
        </w:tc>
      </w:tr>
      <w:tr w:rsidR="00210E51" w:rsidRPr="00210E51" w14:paraId="30A61AA0" w14:textId="77777777" w:rsidTr="00210E51">
        <w:trPr>
          <w:trHeight w:val="276"/>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14:paraId="4A51D08F" w14:textId="77777777" w:rsidR="00210E51" w:rsidRPr="00210E51" w:rsidRDefault="00210E51" w:rsidP="00210E51">
            <w:pPr>
              <w:spacing w:after="0" w:line="240" w:lineRule="auto"/>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Feedback</w:t>
            </w:r>
          </w:p>
        </w:tc>
        <w:tc>
          <w:tcPr>
            <w:tcW w:w="1837" w:type="dxa"/>
            <w:tcBorders>
              <w:top w:val="nil"/>
              <w:left w:val="nil"/>
              <w:bottom w:val="single" w:sz="4" w:space="0" w:color="auto"/>
              <w:right w:val="single" w:sz="4" w:space="0" w:color="auto"/>
            </w:tcBorders>
            <w:shd w:val="clear" w:color="000000" w:fill="FFFFFF"/>
            <w:noWrap/>
            <w:vAlign w:val="bottom"/>
            <w:hideMark/>
          </w:tcPr>
          <w:p w14:paraId="3FBADC49"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2</w:t>
            </w:r>
          </w:p>
        </w:tc>
        <w:tc>
          <w:tcPr>
            <w:tcW w:w="850" w:type="dxa"/>
            <w:tcBorders>
              <w:top w:val="nil"/>
              <w:left w:val="nil"/>
              <w:bottom w:val="single" w:sz="4" w:space="0" w:color="auto"/>
              <w:right w:val="single" w:sz="4" w:space="0" w:color="auto"/>
            </w:tcBorders>
            <w:shd w:val="clear" w:color="000000" w:fill="FFFFFF"/>
            <w:noWrap/>
            <w:vAlign w:val="bottom"/>
            <w:hideMark/>
          </w:tcPr>
          <w:p w14:paraId="7EA1AA4B"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0</w:t>
            </w:r>
          </w:p>
        </w:tc>
        <w:tc>
          <w:tcPr>
            <w:tcW w:w="1701" w:type="dxa"/>
            <w:tcBorders>
              <w:top w:val="nil"/>
              <w:left w:val="nil"/>
              <w:bottom w:val="single" w:sz="4" w:space="0" w:color="auto"/>
              <w:right w:val="single" w:sz="4" w:space="0" w:color="auto"/>
            </w:tcBorders>
            <w:shd w:val="clear" w:color="000000" w:fill="FFFFFF"/>
            <w:noWrap/>
            <w:vAlign w:val="center"/>
            <w:hideMark/>
          </w:tcPr>
          <w:p w14:paraId="1B0EEDEB"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7</w:t>
            </w:r>
          </w:p>
        </w:tc>
        <w:tc>
          <w:tcPr>
            <w:tcW w:w="1134" w:type="dxa"/>
            <w:tcBorders>
              <w:top w:val="nil"/>
              <w:left w:val="nil"/>
              <w:bottom w:val="single" w:sz="4" w:space="0" w:color="auto"/>
              <w:right w:val="single" w:sz="4" w:space="0" w:color="auto"/>
            </w:tcBorders>
            <w:shd w:val="clear" w:color="000000" w:fill="FFFFFF"/>
            <w:noWrap/>
            <w:vAlign w:val="center"/>
            <w:hideMark/>
          </w:tcPr>
          <w:p w14:paraId="26CA0ECA"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0</w:t>
            </w:r>
          </w:p>
        </w:tc>
      </w:tr>
      <w:tr w:rsidR="00210E51" w:rsidRPr="00210E51" w14:paraId="62BBB462" w14:textId="77777777" w:rsidTr="00210E51">
        <w:trPr>
          <w:trHeight w:val="276"/>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14:paraId="6F582B49" w14:textId="77777777" w:rsidR="00210E51" w:rsidRPr="00210E51" w:rsidRDefault="00210E51" w:rsidP="00210E51">
            <w:pPr>
              <w:spacing w:after="0" w:line="240" w:lineRule="auto"/>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Ostalo</w:t>
            </w:r>
          </w:p>
        </w:tc>
        <w:tc>
          <w:tcPr>
            <w:tcW w:w="1837" w:type="dxa"/>
            <w:tcBorders>
              <w:top w:val="nil"/>
              <w:left w:val="nil"/>
              <w:bottom w:val="single" w:sz="4" w:space="0" w:color="auto"/>
              <w:right w:val="single" w:sz="4" w:space="0" w:color="auto"/>
            </w:tcBorders>
            <w:shd w:val="clear" w:color="000000" w:fill="FFFFFF"/>
            <w:noWrap/>
            <w:vAlign w:val="bottom"/>
            <w:hideMark/>
          </w:tcPr>
          <w:p w14:paraId="24819472"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50</w:t>
            </w:r>
          </w:p>
        </w:tc>
        <w:tc>
          <w:tcPr>
            <w:tcW w:w="850" w:type="dxa"/>
            <w:tcBorders>
              <w:top w:val="nil"/>
              <w:left w:val="nil"/>
              <w:bottom w:val="single" w:sz="4" w:space="0" w:color="auto"/>
              <w:right w:val="single" w:sz="4" w:space="0" w:color="auto"/>
            </w:tcBorders>
            <w:shd w:val="clear" w:color="000000" w:fill="FFFFFF"/>
            <w:noWrap/>
            <w:vAlign w:val="bottom"/>
            <w:hideMark/>
          </w:tcPr>
          <w:p w14:paraId="1A2895E2"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3</w:t>
            </w:r>
          </w:p>
        </w:tc>
        <w:tc>
          <w:tcPr>
            <w:tcW w:w="1701" w:type="dxa"/>
            <w:tcBorders>
              <w:top w:val="nil"/>
              <w:left w:val="nil"/>
              <w:bottom w:val="single" w:sz="4" w:space="0" w:color="auto"/>
              <w:right w:val="single" w:sz="4" w:space="0" w:color="auto"/>
            </w:tcBorders>
            <w:shd w:val="clear" w:color="000000" w:fill="FFFFFF"/>
            <w:noWrap/>
            <w:vAlign w:val="center"/>
            <w:hideMark/>
          </w:tcPr>
          <w:p w14:paraId="220AC8FC"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22</w:t>
            </w:r>
          </w:p>
        </w:tc>
        <w:tc>
          <w:tcPr>
            <w:tcW w:w="1134" w:type="dxa"/>
            <w:tcBorders>
              <w:top w:val="nil"/>
              <w:left w:val="nil"/>
              <w:bottom w:val="single" w:sz="4" w:space="0" w:color="auto"/>
              <w:right w:val="single" w:sz="4" w:space="0" w:color="auto"/>
            </w:tcBorders>
            <w:shd w:val="clear" w:color="000000" w:fill="FFFFFF"/>
            <w:noWrap/>
            <w:vAlign w:val="center"/>
            <w:hideMark/>
          </w:tcPr>
          <w:p w14:paraId="12CD22C6" w14:textId="77777777" w:rsidR="00210E51" w:rsidRPr="00210E51" w:rsidRDefault="00210E51" w:rsidP="00210E51">
            <w:pPr>
              <w:spacing w:after="0" w:line="240" w:lineRule="auto"/>
              <w:jc w:val="center"/>
              <w:rPr>
                <w:rFonts w:ascii="Times New Roman" w:eastAsia="Times New Roman" w:hAnsi="Times New Roman" w:cs="Times New Roman"/>
                <w:color w:val="000000"/>
                <w:lang w:eastAsia="hr-HR"/>
              </w:rPr>
            </w:pPr>
            <w:r w:rsidRPr="00210E51">
              <w:rPr>
                <w:rFonts w:ascii="Times New Roman" w:eastAsia="Calibri" w:hAnsi="Times New Roman" w:cs="Times New Roman"/>
                <w:color w:val="000000"/>
                <w:lang w:eastAsia="hr-HR"/>
              </w:rPr>
              <w:t>2</w:t>
            </w:r>
          </w:p>
        </w:tc>
      </w:tr>
      <w:tr w:rsidR="00210E51" w:rsidRPr="00210E51" w14:paraId="41ACC2F2" w14:textId="77777777" w:rsidTr="00210E51">
        <w:trPr>
          <w:trHeight w:val="276"/>
        </w:trPr>
        <w:tc>
          <w:tcPr>
            <w:tcW w:w="3120" w:type="dxa"/>
            <w:tcBorders>
              <w:top w:val="nil"/>
              <w:left w:val="single" w:sz="4" w:space="0" w:color="auto"/>
              <w:bottom w:val="single" w:sz="4" w:space="0" w:color="auto"/>
              <w:right w:val="single" w:sz="4" w:space="0" w:color="auto"/>
            </w:tcBorders>
            <w:shd w:val="clear" w:color="000000" w:fill="FFFFFF"/>
            <w:noWrap/>
            <w:vAlign w:val="center"/>
            <w:hideMark/>
          </w:tcPr>
          <w:p w14:paraId="5604051E" w14:textId="77777777" w:rsidR="00210E51" w:rsidRPr="00210E51" w:rsidRDefault="00210E51" w:rsidP="00210E51">
            <w:pPr>
              <w:spacing w:after="0" w:line="240" w:lineRule="auto"/>
              <w:rPr>
                <w:rFonts w:ascii="Times New Roman" w:eastAsia="Times New Roman" w:hAnsi="Times New Roman" w:cs="Times New Roman"/>
                <w:b/>
                <w:bCs/>
                <w:color w:val="000000"/>
                <w:lang w:eastAsia="hr-HR"/>
              </w:rPr>
            </w:pPr>
            <w:r w:rsidRPr="00210E51">
              <w:rPr>
                <w:rFonts w:ascii="Times New Roman" w:eastAsia="Calibri" w:hAnsi="Times New Roman" w:cs="Times New Roman"/>
                <w:b/>
                <w:bCs/>
                <w:color w:val="000000"/>
                <w:lang w:eastAsia="hr-HR"/>
              </w:rPr>
              <w:t>Ukupno:</w:t>
            </w:r>
          </w:p>
        </w:tc>
        <w:tc>
          <w:tcPr>
            <w:tcW w:w="1837" w:type="dxa"/>
            <w:tcBorders>
              <w:top w:val="nil"/>
              <w:left w:val="nil"/>
              <w:bottom w:val="single" w:sz="4" w:space="0" w:color="auto"/>
              <w:right w:val="single" w:sz="4" w:space="0" w:color="auto"/>
            </w:tcBorders>
            <w:shd w:val="clear" w:color="000000" w:fill="FFFFFF"/>
            <w:noWrap/>
            <w:vAlign w:val="bottom"/>
            <w:hideMark/>
          </w:tcPr>
          <w:p w14:paraId="734530DA" w14:textId="77777777" w:rsidR="00210E51" w:rsidRPr="00210E51" w:rsidRDefault="00210E51" w:rsidP="00210E51">
            <w:pPr>
              <w:spacing w:after="0" w:line="240" w:lineRule="auto"/>
              <w:jc w:val="center"/>
              <w:rPr>
                <w:rFonts w:ascii="Times New Roman" w:eastAsia="Times New Roman" w:hAnsi="Times New Roman" w:cs="Times New Roman"/>
                <w:b/>
                <w:bCs/>
                <w:color w:val="000000"/>
                <w:lang w:eastAsia="hr-HR"/>
              </w:rPr>
            </w:pPr>
            <w:r w:rsidRPr="00210E51">
              <w:rPr>
                <w:rFonts w:ascii="Times New Roman" w:eastAsia="Calibri" w:hAnsi="Times New Roman" w:cs="Times New Roman"/>
                <w:b/>
                <w:bCs/>
                <w:color w:val="000000"/>
                <w:lang w:eastAsia="hr-HR"/>
              </w:rPr>
              <w:t>629</w:t>
            </w:r>
          </w:p>
        </w:tc>
        <w:tc>
          <w:tcPr>
            <w:tcW w:w="850" w:type="dxa"/>
            <w:tcBorders>
              <w:top w:val="nil"/>
              <w:left w:val="nil"/>
              <w:bottom w:val="single" w:sz="4" w:space="0" w:color="auto"/>
              <w:right w:val="single" w:sz="4" w:space="0" w:color="auto"/>
            </w:tcBorders>
            <w:shd w:val="clear" w:color="000000" w:fill="FFFFFF"/>
            <w:noWrap/>
            <w:vAlign w:val="bottom"/>
            <w:hideMark/>
          </w:tcPr>
          <w:p w14:paraId="40701D0C" w14:textId="77777777" w:rsidR="00210E51" w:rsidRPr="00210E51" w:rsidRDefault="00210E51" w:rsidP="00210E51">
            <w:pPr>
              <w:spacing w:after="0" w:line="240" w:lineRule="auto"/>
              <w:jc w:val="center"/>
              <w:rPr>
                <w:rFonts w:ascii="Times New Roman" w:eastAsia="Times New Roman" w:hAnsi="Times New Roman" w:cs="Times New Roman"/>
                <w:b/>
                <w:bCs/>
                <w:color w:val="000000"/>
                <w:lang w:eastAsia="hr-HR"/>
              </w:rPr>
            </w:pPr>
            <w:r w:rsidRPr="00210E51">
              <w:rPr>
                <w:rFonts w:ascii="Times New Roman" w:eastAsia="Calibri" w:hAnsi="Times New Roman" w:cs="Times New Roman"/>
                <w:b/>
                <w:bCs/>
                <w:color w:val="000000"/>
                <w:lang w:eastAsia="hr-HR"/>
              </w:rPr>
              <w:t>372</w:t>
            </w:r>
          </w:p>
        </w:tc>
        <w:tc>
          <w:tcPr>
            <w:tcW w:w="1701" w:type="dxa"/>
            <w:tcBorders>
              <w:top w:val="nil"/>
              <w:left w:val="nil"/>
              <w:bottom w:val="single" w:sz="4" w:space="0" w:color="auto"/>
              <w:right w:val="single" w:sz="4" w:space="0" w:color="auto"/>
            </w:tcBorders>
            <w:shd w:val="clear" w:color="000000" w:fill="FFFFFF"/>
            <w:noWrap/>
            <w:vAlign w:val="center"/>
            <w:hideMark/>
          </w:tcPr>
          <w:p w14:paraId="281726F5" w14:textId="77777777" w:rsidR="00210E51" w:rsidRPr="00210E51" w:rsidRDefault="00210E51" w:rsidP="00210E51">
            <w:pPr>
              <w:spacing w:after="0" w:line="240" w:lineRule="auto"/>
              <w:jc w:val="center"/>
              <w:rPr>
                <w:rFonts w:ascii="Times New Roman" w:eastAsia="Times New Roman" w:hAnsi="Times New Roman" w:cs="Times New Roman"/>
                <w:b/>
                <w:bCs/>
                <w:color w:val="000000"/>
                <w:lang w:eastAsia="hr-HR"/>
              </w:rPr>
            </w:pPr>
            <w:r w:rsidRPr="00210E51">
              <w:rPr>
                <w:rFonts w:ascii="Times New Roman" w:eastAsia="Calibri" w:hAnsi="Times New Roman" w:cs="Times New Roman"/>
                <w:b/>
                <w:bCs/>
                <w:color w:val="000000"/>
                <w:lang w:eastAsia="hr-HR"/>
              </w:rPr>
              <w:t>567</w:t>
            </w:r>
          </w:p>
        </w:tc>
        <w:tc>
          <w:tcPr>
            <w:tcW w:w="1134" w:type="dxa"/>
            <w:tcBorders>
              <w:top w:val="nil"/>
              <w:left w:val="nil"/>
              <w:bottom w:val="single" w:sz="4" w:space="0" w:color="auto"/>
              <w:right w:val="single" w:sz="4" w:space="0" w:color="auto"/>
            </w:tcBorders>
            <w:shd w:val="clear" w:color="000000" w:fill="FFFFFF"/>
            <w:noWrap/>
            <w:vAlign w:val="center"/>
            <w:hideMark/>
          </w:tcPr>
          <w:p w14:paraId="1B3E576D" w14:textId="77777777" w:rsidR="00210E51" w:rsidRPr="00210E51" w:rsidRDefault="00210E51" w:rsidP="00210E51">
            <w:pPr>
              <w:spacing w:after="0" w:line="240" w:lineRule="auto"/>
              <w:jc w:val="center"/>
              <w:rPr>
                <w:rFonts w:ascii="Times New Roman" w:eastAsia="Times New Roman" w:hAnsi="Times New Roman" w:cs="Times New Roman"/>
                <w:b/>
                <w:bCs/>
                <w:color w:val="000000"/>
                <w:lang w:eastAsia="hr-HR"/>
              </w:rPr>
            </w:pPr>
            <w:r w:rsidRPr="00210E51">
              <w:rPr>
                <w:rFonts w:ascii="Times New Roman" w:eastAsia="Calibri" w:hAnsi="Times New Roman" w:cs="Times New Roman"/>
                <w:b/>
                <w:bCs/>
                <w:color w:val="000000"/>
                <w:lang w:eastAsia="hr-HR"/>
              </w:rPr>
              <w:t>349</w:t>
            </w:r>
          </w:p>
        </w:tc>
      </w:tr>
    </w:tbl>
    <w:p w14:paraId="26FA8E35" w14:textId="54220D2F" w:rsidR="002A6D88" w:rsidRDefault="00210E51" w:rsidP="00052721">
      <w:pPr>
        <w:tabs>
          <w:tab w:val="num" w:pos="125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fldChar w:fldCharType="end"/>
      </w:r>
    </w:p>
    <w:p w14:paraId="752E49DD" w14:textId="6D23892F" w:rsidR="00370CD9" w:rsidRPr="00370CD9" w:rsidRDefault="004665E0" w:rsidP="00052721">
      <w:pPr>
        <w:tabs>
          <w:tab w:val="num" w:pos="1254"/>
        </w:tabs>
        <w:spacing w:after="0" w:line="240" w:lineRule="auto"/>
        <w:jc w:val="both"/>
        <w:rPr>
          <w:rFonts w:ascii="Times New Roman" w:eastAsia="Times New Roman" w:hAnsi="Times New Roman" w:cs="Times New Roman"/>
          <w:color w:val="231F20"/>
          <w:sz w:val="24"/>
          <w:szCs w:val="24"/>
          <w:lang w:eastAsia="hr-HR"/>
        </w:rPr>
      </w:pPr>
      <w:r w:rsidRPr="004665E0">
        <w:rPr>
          <w:rFonts w:ascii="Times New Roman" w:eastAsia="Calibri" w:hAnsi="Times New Roman" w:cs="Times New Roman"/>
          <w:sz w:val="24"/>
          <w:szCs w:val="24"/>
        </w:rPr>
        <w:t>Ovi pokazatelji potvrđuju</w:t>
      </w:r>
      <w:r w:rsidR="00E205F1">
        <w:rPr>
          <w:rFonts w:ascii="Times New Roman" w:eastAsia="Calibri" w:hAnsi="Times New Roman" w:cs="Times New Roman"/>
          <w:sz w:val="24"/>
          <w:szCs w:val="24"/>
        </w:rPr>
        <w:t xml:space="preserve"> </w:t>
      </w:r>
      <w:r w:rsidRPr="004665E0">
        <w:rPr>
          <w:rFonts w:ascii="Times New Roman" w:eastAsia="Calibri" w:hAnsi="Times New Roman" w:cs="Times New Roman"/>
          <w:sz w:val="24"/>
          <w:szCs w:val="24"/>
        </w:rPr>
        <w:t xml:space="preserve">intenzivnu međunarodnu suradnju Ureda s financijsko-obavještajnim jedinicama drugih država. </w:t>
      </w:r>
    </w:p>
    <w:p w14:paraId="0BD48F7C" w14:textId="77777777" w:rsidR="00370CD9" w:rsidRPr="004665E0" w:rsidRDefault="00370CD9" w:rsidP="004665E0">
      <w:pPr>
        <w:tabs>
          <w:tab w:val="num" w:pos="1254"/>
        </w:tabs>
        <w:spacing w:after="0" w:line="240" w:lineRule="auto"/>
        <w:jc w:val="both"/>
        <w:rPr>
          <w:rFonts w:ascii="Times New Roman" w:eastAsia="Calibri" w:hAnsi="Times New Roman" w:cs="Times New Roman"/>
          <w:b/>
          <w:sz w:val="24"/>
          <w:szCs w:val="24"/>
        </w:rPr>
      </w:pPr>
    </w:p>
    <w:p w14:paraId="7491469C" w14:textId="6D99ADB8" w:rsidR="004665E0" w:rsidRDefault="004665E0" w:rsidP="00E22115">
      <w:pPr>
        <w:spacing w:before="60" w:after="0" w:line="240" w:lineRule="auto"/>
        <w:jc w:val="both"/>
        <w:rPr>
          <w:rFonts w:ascii="Times New Roman" w:hAnsi="Times New Roman" w:cs="Times New Roman"/>
          <w:sz w:val="24"/>
          <w:szCs w:val="24"/>
        </w:rPr>
      </w:pPr>
      <w:r w:rsidRPr="00E64097">
        <w:rPr>
          <w:rFonts w:ascii="Times New Roman" w:hAnsi="Times New Roman" w:cs="Times New Roman"/>
          <w:sz w:val="24"/>
          <w:szCs w:val="24"/>
        </w:rPr>
        <w:t xml:space="preserve">Jedna od ovlasti Ureda koja predstavlja </w:t>
      </w:r>
      <w:r w:rsidR="005D37EE">
        <w:rPr>
          <w:rFonts w:ascii="Times New Roman" w:hAnsi="Times New Roman" w:cs="Times New Roman"/>
          <w:sz w:val="24"/>
          <w:szCs w:val="24"/>
        </w:rPr>
        <w:t>ključni alat</w:t>
      </w:r>
      <w:r w:rsidRPr="00E64097">
        <w:rPr>
          <w:rFonts w:ascii="Times New Roman" w:hAnsi="Times New Roman" w:cs="Times New Roman"/>
          <w:sz w:val="24"/>
          <w:szCs w:val="24"/>
        </w:rPr>
        <w:t xml:space="preserve"> u sprječavanju pranja novca i financiranja terorizma je izdavanje naloga obvezniku za privremeno zaustavljanje obavljanja sumnjive transakcije na rok od 120 sati. </w:t>
      </w:r>
    </w:p>
    <w:p w14:paraId="5C7D6F0D" w14:textId="50D5D00C" w:rsidR="004665E0" w:rsidRDefault="004665E0" w:rsidP="004665E0">
      <w:pPr>
        <w:spacing w:after="0" w:line="240" w:lineRule="auto"/>
        <w:jc w:val="both"/>
        <w:rPr>
          <w:rFonts w:ascii="Times New Roman" w:hAnsi="Times New Roman" w:cs="Times New Roman"/>
          <w:sz w:val="24"/>
          <w:szCs w:val="24"/>
        </w:rPr>
      </w:pPr>
      <w:r w:rsidRPr="00E64097">
        <w:rPr>
          <w:rFonts w:ascii="Times New Roman" w:hAnsi="Times New Roman" w:cs="Times New Roman"/>
          <w:sz w:val="24"/>
          <w:szCs w:val="24"/>
        </w:rPr>
        <w:t xml:space="preserve">Ured je u okviru </w:t>
      </w:r>
      <w:r w:rsidR="00CF3349">
        <w:rPr>
          <w:rFonts w:ascii="Times New Roman" w:hAnsi="Times New Roman" w:cs="Times New Roman"/>
          <w:sz w:val="24"/>
          <w:szCs w:val="24"/>
        </w:rPr>
        <w:t>8</w:t>
      </w:r>
      <w:r w:rsidRPr="00E64097">
        <w:rPr>
          <w:rFonts w:ascii="Times New Roman" w:hAnsi="Times New Roman" w:cs="Times New Roman"/>
          <w:sz w:val="24"/>
          <w:szCs w:val="24"/>
        </w:rPr>
        <w:t xml:space="preserve"> slučaja u 202</w:t>
      </w:r>
      <w:r w:rsidR="00CF3349">
        <w:rPr>
          <w:rFonts w:ascii="Times New Roman" w:hAnsi="Times New Roman" w:cs="Times New Roman"/>
          <w:sz w:val="24"/>
          <w:szCs w:val="24"/>
        </w:rPr>
        <w:t>2</w:t>
      </w:r>
      <w:r w:rsidR="00E205F1">
        <w:rPr>
          <w:rFonts w:ascii="Times New Roman" w:hAnsi="Times New Roman" w:cs="Times New Roman"/>
          <w:sz w:val="24"/>
          <w:szCs w:val="24"/>
        </w:rPr>
        <w:t xml:space="preserve">., </w:t>
      </w:r>
      <w:r w:rsidRPr="00E64097">
        <w:rPr>
          <w:rFonts w:ascii="Times New Roman" w:hAnsi="Times New Roman" w:cs="Times New Roman"/>
          <w:sz w:val="24"/>
          <w:szCs w:val="24"/>
        </w:rPr>
        <w:t>u kojima je izdao obveznicima nalog za privremeno zaustavljanje obavljanja sumnjive transakcije, ostvario međunarodnu razmjenu po</w:t>
      </w:r>
      <w:r w:rsidR="005D37EE">
        <w:rPr>
          <w:rFonts w:ascii="Times New Roman" w:hAnsi="Times New Roman" w:cs="Times New Roman"/>
          <w:sz w:val="24"/>
          <w:szCs w:val="24"/>
        </w:rPr>
        <w:t>dataka sa inozemnim financijsko-</w:t>
      </w:r>
      <w:r w:rsidRPr="00E64097">
        <w:rPr>
          <w:rFonts w:ascii="Times New Roman" w:hAnsi="Times New Roman" w:cs="Times New Roman"/>
          <w:sz w:val="24"/>
          <w:szCs w:val="24"/>
        </w:rPr>
        <w:t xml:space="preserve">obavještajnim jedinicama: </w:t>
      </w:r>
      <w:r w:rsidR="00CF3349">
        <w:rPr>
          <w:rFonts w:ascii="Times New Roman" w:hAnsi="Times New Roman" w:cs="Times New Roman"/>
          <w:sz w:val="24"/>
          <w:szCs w:val="24"/>
        </w:rPr>
        <w:t>Francusk</w:t>
      </w:r>
      <w:r w:rsidR="005D37EE">
        <w:rPr>
          <w:rFonts w:ascii="Times New Roman" w:hAnsi="Times New Roman" w:cs="Times New Roman"/>
          <w:sz w:val="24"/>
          <w:szCs w:val="24"/>
        </w:rPr>
        <w:t>e</w:t>
      </w:r>
      <w:r w:rsidR="00CF3349">
        <w:rPr>
          <w:rFonts w:ascii="Times New Roman" w:hAnsi="Times New Roman" w:cs="Times New Roman"/>
          <w:sz w:val="24"/>
          <w:szCs w:val="24"/>
        </w:rPr>
        <w:t xml:space="preserve">, </w:t>
      </w:r>
      <w:r w:rsidRPr="00E64097">
        <w:rPr>
          <w:rFonts w:ascii="Times New Roman" w:hAnsi="Times New Roman" w:cs="Times New Roman"/>
          <w:sz w:val="24"/>
          <w:szCs w:val="24"/>
        </w:rPr>
        <w:t>Njemačk</w:t>
      </w:r>
      <w:r w:rsidR="005D37EE">
        <w:rPr>
          <w:rFonts w:ascii="Times New Roman" w:hAnsi="Times New Roman" w:cs="Times New Roman"/>
          <w:sz w:val="24"/>
          <w:szCs w:val="24"/>
        </w:rPr>
        <w:t>e</w:t>
      </w:r>
      <w:r w:rsidRPr="00E64097">
        <w:rPr>
          <w:rFonts w:ascii="Times New Roman" w:hAnsi="Times New Roman" w:cs="Times New Roman"/>
          <w:sz w:val="24"/>
          <w:szCs w:val="24"/>
        </w:rPr>
        <w:t xml:space="preserve">, </w:t>
      </w:r>
      <w:r w:rsidR="00CF3349">
        <w:rPr>
          <w:rFonts w:ascii="Times New Roman" w:hAnsi="Times New Roman" w:cs="Times New Roman"/>
          <w:sz w:val="24"/>
          <w:szCs w:val="24"/>
        </w:rPr>
        <w:t>Mađarsk</w:t>
      </w:r>
      <w:r w:rsidR="005D37EE">
        <w:rPr>
          <w:rFonts w:ascii="Times New Roman" w:hAnsi="Times New Roman" w:cs="Times New Roman"/>
          <w:sz w:val="24"/>
          <w:szCs w:val="24"/>
        </w:rPr>
        <w:t>e</w:t>
      </w:r>
      <w:r w:rsidRPr="00E64097">
        <w:rPr>
          <w:rFonts w:ascii="Times New Roman" w:hAnsi="Times New Roman" w:cs="Times New Roman"/>
          <w:sz w:val="24"/>
          <w:szCs w:val="24"/>
        </w:rPr>
        <w:t>,</w:t>
      </w:r>
      <w:r w:rsidR="00CF3349">
        <w:rPr>
          <w:rFonts w:ascii="Times New Roman" w:hAnsi="Times New Roman" w:cs="Times New Roman"/>
          <w:sz w:val="24"/>
          <w:szCs w:val="24"/>
        </w:rPr>
        <w:t xml:space="preserve"> Italij</w:t>
      </w:r>
      <w:r w:rsidR="005D37EE">
        <w:rPr>
          <w:rFonts w:ascii="Times New Roman" w:hAnsi="Times New Roman" w:cs="Times New Roman"/>
          <w:sz w:val="24"/>
          <w:szCs w:val="24"/>
        </w:rPr>
        <w:t>e</w:t>
      </w:r>
      <w:r w:rsidR="00CF3349">
        <w:rPr>
          <w:rFonts w:ascii="Times New Roman" w:hAnsi="Times New Roman" w:cs="Times New Roman"/>
          <w:sz w:val="24"/>
          <w:szCs w:val="24"/>
        </w:rPr>
        <w:t>, Luksemburg</w:t>
      </w:r>
      <w:r w:rsidR="005D37EE">
        <w:rPr>
          <w:rFonts w:ascii="Times New Roman" w:hAnsi="Times New Roman" w:cs="Times New Roman"/>
          <w:sz w:val="24"/>
          <w:szCs w:val="24"/>
        </w:rPr>
        <w:t>a</w:t>
      </w:r>
      <w:r w:rsidR="00CF3349">
        <w:rPr>
          <w:rFonts w:ascii="Times New Roman" w:hAnsi="Times New Roman" w:cs="Times New Roman"/>
          <w:sz w:val="24"/>
          <w:szCs w:val="24"/>
        </w:rPr>
        <w:t>, Mal</w:t>
      </w:r>
      <w:r w:rsidR="00E205F1">
        <w:rPr>
          <w:rFonts w:ascii="Times New Roman" w:hAnsi="Times New Roman" w:cs="Times New Roman"/>
          <w:sz w:val="24"/>
          <w:szCs w:val="24"/>
        </w:rPr>
        <w:t>t</w:t>
      </w:r>
      <w:r w:rsidR="005D37EE">
        <w:rPr>
          <w:rFonts w:ascii="Times New Roman" w:hAnsi="Times New Roman" w:cs="Times New Roman"/>
          <w:sz w:val="24"/>
          <w:szCs w:val="24"/>
        </w:rPr>
        <w:t>e</w:t>
      </w:r>
      <w:r w:rsidR="00CF3349">
        <w:rPr>
          <w:rFonts w:ascii="Times New Roman" w:hAnsi="Times New Roman" w:cs="Times New Roman"/>
          <w:sz w:val="24"/>
          <w:szCs w:val="24"/>
        </w:rPr>
        <w:t>,</w:t>
      </w:r>
      <w:r w:rsidRPr="00E64097">
        <w:rPr>
          <w:rFonts w:ascii="Times New Roman" w:hAnsi="Times New Roman" w:cs="Times New Roman"/>
          <w:sz w:val="24"/>
          <w:szCs w:val="24"/>
        </w:rPr>
        <w:t xml:space="preserve"> Slovenij</w:t>
      </w:r>
      <w:r w:rsidR="005D37EE">
        <w:rPr>
          <w:rFonts w:ascii="Times New Roman" w:hAnsi="Times New Roman" w:cs="Times New Roman"/>
          <w:sz w:val="24"/>
          <w:szCs w:val="24"/>
        </w:rPr>
        <w:t>e</w:t>
      </w:r>
      <w:r w:rsidRPr="00E64097">
        <w:rPr>
          <w:rFonts w:ascii="Times New Roman" w:hAnsi="Times New Roman" w:cs="Times New Roman"/>
          <w:sz w:val="24"/>
          <w:szCs w:val="24"/>
        </w:rPr>
        <w:t>,</w:t>
      </w:r>
      <w:r w:rsidR="00CF3349">
        <w:rPr>
          <w:rFonts w:ascii="Times New Roman" w:hAnsi="Times New Roman" w:cs="Times New Roman"/>
          <w:sz w:val="24"/>
          <w:szCs w:val="24"/>
        </w:rPr>
        <w:t xml:space="preserve"> Švicarsk</w:t>
      </w:r>
      <w:r w:rsidR="005D37EE">
        <w:rPr>
          <w:rFonts w:ascii="Times New Roman" w:hAnsi="Times New Roman" w:cs="Times New Roman"/>
          <w:sz w:val="24"/>
          <w:szCs w:val="24"/>
        </w:rPr>
        <w:t>e</w:t>
      </w:r>
      <w:r w:rsidR="00CF3349">
        <w:rPr>
          <w:rFonts w:ascii="Times New Roman" w:hAnsi="Times New Roman" w:cs="Times New Roman"/>
          <w:sz w:val="24"/>
          <w:szCs w:val="24"/>
        </w:rPr>
        <w:t>, Ujedinjeno</w:t>
      </w:r>
      <w:r w:rsidR="005D37EE">
        <w:rPr>
          <w:rFonts w:ascii="Times New Roman" w:hAnsi="Times New Roman" w:cs="Times New Roman"/>
          <w:sz w:val="24"/>
          <w:szCs w:val="24"/>
        </w:rPr>
        <w:t>g</w:t>
      </w:r>
      <w:r w:rsidR="00CF3349">
        <w:rPr>
          <w:rFonts w:ascii="Times New Roman" w:hAnsi="Times New Roman" w:cs="Times New Roman"/>
          <w:sz w:val="24"/>
          <w:szCs w:val="24"/>
        </w:rPr>
        <w:t xml:space="preserve"> Kraljevstv</w:t>
      </w:r>
      <w:r w:rsidR="005D37EE">
        <w:rPr>
          <w:rFonts w:ascii="Times New Roman" w:hAnsi="Times New Roman" w:cs="Times New Roman"/>
          <w:sz w:val="24"/>
          <w:szCs w:val="24"/>
        </w:rPr>
        <w:t>a</w:t>
      </w:r>
      <w:r w:rsidR="00CF3349">
        <w:rPr>
          <w:rFonts w:ascii="Times New Roman" w:hAnsi="Times New Roman" w:cs="Times New Roman"/>
          <w:sz w:val="24"/>
          <w:szCs w:val="24"/>
        </w:rPr>
        <w:t xml:space="preserve"> i</w:t>
      </w:r>
      <w:r w:rsidRPr="00E64097">
        <w:rPr>
          <w:rFonts w:ascii="Times New Roman" w:hAnsi="Times New Roman" w:cs="Times New Roman"/>
          <w:sz w:val="24"/>
          <w:szCs w:val="24"/>
        </w:rPr>
        <w:t xml:space="preserve"> </w:t>
      </w:r>
      <w:r w:rsidR="005D37EE">
        <w:rPr>
          <w:rFonts w:ascii="Times New Roman" w:hAnsi="Times New Roman" w:cs="Times New Roman"/>
          <w:sz w:val="24"/>
          <w:szCs w:val="24"/>
        </w:rPr>
        <w:t>SAD.</w:t>
      </w:r>
    </w:p>
    <w:p w14:paraId="7A7438CA" w14:textId="77777777" w:rsidR="005D37EE" w:rsidRDefault="005D37EE" w:rsidP="00CF4B6B">
      <w:pPr>
        <w:spacing w:after="0" w:line="240" w:lineRule="auto"/>
        <w:jc w:val="both"/>
        <w:textAlignment w:val="baseline"/>
        <w:rPr>
          <w:rFonts w:ascii="Times New Roman" w:hAnsi="Times New Roman" w:cs="Times New Roman"/>
          <w:sz w:val="24"/>
          <w:szCs w:val="24"/>
        </w:rPr>
      </w:pPr>
    </w:p>
    <w:p w14:paraId="531A32F8" w14:textId="5AB8B13C" w:rsidR="00052721" w:rsidRPr="00052721" w:rsidRDefault="00052721" w:rsidP="00CF4B6B">
      <w:pPr>
        <w:spacing w:after="0" w:line="240" w:lineRule="auto"/>
        <w:jc w:val="both"/>
        <w:textAlignment w:val="baseline"/>
        <w:rPr>
          <w:rFonts w:ascii="Times New Roman" w:eastAsia="Times New Roman" w:hAnsi="Times New Roman" w:cs="Times New Roman"/>
          <w:color w:val="231F20"/>
          <w:sz w:val="24"/>
          <w:szCs w:val="24"/>
          <w:lang w:eastAsia="hr-HR"/>
        </w:rPr>
      </w:pPr>
      <w:r w:rsidRPr="00052721">
        <w:rPr>
          <w:rFonts w:ascii="Times New Roman" w:hAnsi="Times New Roman" w:cs="Times New Roman"/>
          <w:sz w:val="24"/>
          <w:szCs w:val="24"/>
        </w:rPr>
        <w:t xml:space="preserve">Također, </w:t>
      </w:r>
      <w:r w:rsidRPr="00052721">
        <w:rPr>
          <w:rFonts w:ascii="Times New Roman" w:eastAsia="Times New Roman" w:hAnsi="Times New Roman" w:cs="Times New Roman"/>
          <w:color w:val="231F20"/>
          <w:sz w:val="24"/>
          <w:szCs w:val="24"/>
          <w:lang w:eastAsia="hr-HR"/>
        </w:rPr>
        <w:t>Ured u okviru provođenja zadaća sprječavanja i otkrivanja pranja novca i financiranja terorizma</w:t>
      </w:r>
      <w:r w:rsidR="001E46A2">
        <w:rPr>
          <w:rFonts w:ascii="Times New Roman" w:eastAsia="Times New Roman" w:hAnsi="Times New Roman" w:cs="Times New Roman"/>
          <w:color w:val="231F20"/>
          <w:sz w:val="24"/>
          <w:szCs w:val="24"/>
          <w:lang w:eastAsia="hr-HR"/>
        </w:rPr>
        <w:t xml:space="preserve"> može </w:t>
      </w:r>
      <w:r w:rsidRPr="00052721">
        <w:rPr>
          <w:rFonts w:ascii="Times New Roman" w:eastAsia="Times New Roman" w:hAnsi="Times New Roman" w:cs="Times New Roman"/>
          <w:color w:val="231F20"/>
          <w:sz w:val="24"/>
          <w:szCs w:val="24"/>
          <w:lang w:eastAsia="hr-HR"/>
        </w:rPr>
        <w:t>inozemnomu FOJ-u države članice odnosno treće države dostaviti pisani prijedlog za privremeno zaustavljanje obavljanja sumnjive transakcije u inozemstvu ako Ured ocijeni da u vezi s transakcijom, određenom osobom ili sredstvima postoje razlozi za sumnju na pranje novca ili financiranje terorizma (članak 131. Zakona).</w:t>
      </w:r>
    </w:p>
    <w:p w14:paraId="2F22277E" w14:textId="77777777" w:rsidR="00052721" w:rsidRPr="00052721" w:rsidRDefault="00052721" w:rsidP="00052721">
      <w:pPr>
        <w:spacing w:beforeLines="30" w:before="72" w:afterLines="30" w:after="72" w:line="240" w:lineRule="auto"/>
        <w:textAlignment w:val="baseline"/>
        <w:rPr>
          <w:rFonts w:ascii="Times New Roman" w:eastAsia="Times New Roman" w:hAnsi="Times New Roman" w:cs="Times New Roman"/>
          <w:color w:val="231F20"/>
          <w:sz w:val="20"/>
          <w:szCs w:val="20"/>
          <w:lang w:eastAsia="hr-HR"/>
        </w:rPr>
      </w:pPr>
    </w:p>
    <w:p w14:paraId="4C51C69E" w14:textId="70918DDE" w:rsidR="00052721" w:rsidRPr="00370CD9" w:rsidRDefault="00052721" w:rsidP="00CF4B6B">
      <w:pPr>
        <w:spacing w:beforeLines="30" w:before="72" w:afterLines="30" w:after="72" w:line="240" w:lineRule="auto"/>
        <w:jc w:val="both"/>
        <w:textAlignment w:val="baseline"/>
        <w:rPr>
          <w:rFonts w:ascii="Times New Roman" w:eastAsia="Times New Roman" w:hAnsi="Times New Roman" w:cs="Times New Roman"/>
          <w:color w:val="231F20"/>
          <w:sz w:val="24"/>
          <w:szCs w:val="24"/>
          <w:lang w:eastAsia="hr-HR"/>
        </w:rPr>
      </w:pPr>
      <w:r w:rsidRPr="00052721">
        <w:rPr>
          <w:rFonts w:ascii="Times New Roman" w:eastAsia="Times New Roman" w:hAnsi="Times New Roman" w:cs="Times New Roman"/>
          <w:color w:val="231F20"/>
          <w:sz w:val="24"/>
          <w:szCs w:val="24"/>
          <w:lang w:eastAsia="hr-HR"/>
        </w:rPr>
        <w:t xml:space="preserve">Ured je u okviru </w:t>
      </w:r>
      <w:r w:rsidR="005D37EE">
        <w:rPr>
          <w:rFonts w:ascii="Times New Roman" w:eastAsia="Times New Roman" w:hAnsi="Times New Roman" w:cs="Times New Roman"/>
          <w:color w:val="231F20"/>
          <w:sz w:val="24"/>
          <w:szCs w:val="24"/>
          <w:lang w:eastAsia="hr-HR"/>
        </w:rPr>
        <w:t>6</w:t>
      </w:r>
      <w:r w:rsidRPr="00052721">
        <w:rPr>
          <w:rFonts w:ascii="Times New Roman" w:eastAsia="Times New Roman" w:hAnsi="Times New Roman" w:cs="Times New Roman"/>
          <w:color w:val="231F20"/>
          <w:sz w:val="24"/>
          <w:szCs w:val="24"/>
          <w:lang w:eastAsia="hr-HR"/>
        </w:rPr>
        <w:t xml:space="preserve"> slučaj</w:t>
      </w:r>
      <w:r w:rsidR="005D37EE">
        <w:rPr>
          <w:rFonts w:ascii="Times New Roman" w:eastAsia="Times New Roman" w:hAnsi="Times New Roman" w:cs="Times New Roman"/>
          <w:color w:val="231F20"/>
          <w:sz w:val="24"/>
          <w:szCs w:val="24"/>
          <w:lang w:eastAsia="hr-HR"/>
        </w:rPr>
        <w:t>ev</w:t>
      </w:r>
      <w:r w:rsidRPr="00052721">
        <w:rPr>
          <w:rFonts w:ascii="Times New Roman" w:eastAsia="Times New Roman" w:hAnsi="Times New Roman" w:cs="Times New Roman"/>
          <w:color w:val="231F20"/>
          <w:sz w:val="24"/>
          <w:szCs w:val="24"/>
          <w:lang w:eastAsia="hr-HR"/>
        </w:rPr>
        <w:t xml:space="preserve">a u 2022. dostavio </w:t>
      </w:r>
      <w:r w:rsidRPr="00052721">
        <w:rPr>
          <w:rFonts w:ascii="Times New Roman" w:eastAsia="Times New Roman" w:hAnsi="Times New Roman" w:cs="Times New Roman"/>
          <w:sz w:val="24"/>
          <w:szCs w:val="24"/>
          <w:lang w:eastAsia="hr-HR"/>
        </w:rPr>
        <w:t>inozemnim financijsko</w:t>
      </w:r>
      <w:r w:rsidR="00E205F1">
        <w:rPr>
          <w:rFonts w:ascii="Times New Roman" w:eastAsia="Times New Roman" w:hAnsi="Times New Roman" w:cs="Times New Roman"/>
          <w:sz w:val="24"/>
          <w:szCs w:val="24"/>
          <w:lang w:eastAsia="hr-HR"/>
        </w:rPr>
        <w:t>-</w:t>
      </w:r>
      <w:r w:rsidRPr="00052721">
        <w:rPr>
          <w:rFonts w:ascii="Times New Roman" w:eastAsia="Times New Roman" w:hAnsi="Times New Roman" w:cs="Times New Roman"/>
          <w:sz w:val="24"/>
          <w:szCs w:val="24"/>
          <w:lang w:eastAsia="hr-HR"/>
        </w:rPr>
        <w:t>obavještajnim jedinicama (u 10 država: Estonija, Francuska, Italija, Litva, Mađarska, Njemačka, Sjedinjene Američke Države, Slovenija, Španjolska i Turska) ukupno 2</w:t>
      </w:r>
      <w:r w:rsidRPr="00052721">
        <w:rPr>
          <w:rFonts w:ascii="Times New Roman" w:eastAsia="Times New Roman" w:hAnsi="Times New Roman" w:cs="Times New Roman"/>
          <w:color w:val="231F20"/>
          <w:sz w:val="24"/>
          <w:szCs w:val="24"/>
          <w:lang w:eastAsia="hr-HR"/>
        </w:rPr>
        <w:t>5 prijedloga za privremeno zaustavljanje obavljanja sumnjivih transakcija (u ukupnom iznosu od 805 tisuća eura) slijedom kojih je u inozemstvu blokirano 255 tisuća eura.</w:t>
      </w:r>
    </w:p>
    <w:p w14:paraId="783D7DED" w14:textId="3C124E77" w:rsidR="00A94785" w:rsidRDefault="004665E0" w:rsidP="004665E0">
      <w:pPr>
        <w:tabs>
          <w:tab w:val="left" w:pos="850"/>
          <w:tab w:val="left" w:pos="1191"/>
          <w:tab w:val="left" w:pos="1531"/>
        </w:tabs>
        <w:spacing w:after="0" w:line="240" w:lineRule="auto"/>
        <w:jc w:val="both"/>
        <w:rPr>
          <w:rFonts w:ascii="Times New Roman" w:eastAsia="Calibri" w:hAnsi="Times New Roman" w:cs="Times New Roman"/>
          <w:sz w:val="24"/>
          <w:szCs w:val="24"/>
        </w:rPr>
      </w:pPr>
      <w:r w:rsidRPr="004665E0">
        <w:rPr>
          <w:rFonts w:ascii="Times New Roman" w:eastAsia="Calibri" w:hAnsi="Times New Roman" w:cs="Times New Roman"/>
          <w:noProof/>
          <w:sz w:val="24"/>
          <w:szCs w:val="24"/>
          <w:lang w:eastAsia="hr-HR"/>
        </w:rPr>
        <w:t>Na Grafikonu 1. prikazana je međunarodna suradnj</w:t>
      </w:r>
      <w:r w:rsidR="00A46D3A">
        <w:rPr>
          <w:rFonts w:ascii="Times New Roman" w:eastAsia="Calibri" w:hAnsi="Times New Roman" w:cs="Times New Roman"/>
          <w:noProof/>
          <w:sz w:val="24"/>
          <w:szCs w:val="24"/>
          <w:lang w:eastAsia="hr-HR"/>
        </w:rPr>
        <w:t>a Ureda s inozemnih financijsko-</w:t>
      </w:r>
      <w:r w:rsidRPr="004665E0">
        <w:rPr>
          <w:rFonts w:ascii="Times New Roman" w:eastAsia="Calibri" w:hAnsi="Times New Roman" w:cs="Times New Roman"/>
          <w:noProof/>
          <w:sz w:val="24"/>
          <w:szCs w:val="24"/>
          <w:lang w:eastAsia="hr-HR"/>
        </w:rPr>
        <w:t xml:space="preserve">obavještajnih jedinicama u </w:t>
      </w:r>
      <w:r w:rsidRPr="004665E0">
        <w:rPr>
          <w:rFonts w:ascii="Times New Roman" w:eastAsia="Calibri" w:hAnsi="Times New Roman" w:cs="Times New Roman"/>
          <w:sz w:val="24"/>
          <w:szCs w:val="24"/>
        </w:rPr>
        <w:t xml:space="preserve">svezi razmjene podataka vezanih </w:t>
      </w:r>
      <w:r w:rsidR="005D37EE">
        <w:rPr>
          <w:rFonts w:ascii="Times New Roman" w:eastAsia="Calibri" w:hAnsi="Times New Roman" w:cs="Times New Roman"/>
          <w:sz w:val="24"/>
          <w:szCs w:val="24"/>
        </w:rPr>
        <w:t>uz</w:t>
      </w:r>
      <w:r w:rsidRPr="004665E0">
        <w:rPr>
          <w:rFonts w:ascii="Times New Roman" w:eastAsia="Calibri" w:hAnsi="Times New Roman" w:cs="Times New Roman"/>
          <w:sz w:val="24"/>
          <w:szCs w:val="24"/>
        </w:rPr>
        <w:t xml:space="preserve"> otkrivanje konkretnih slučajeva pranja novca ili financiranje terorizma po državama.</w:t>
      </w:r>
    </w:p>
    <w:p w14:paraId="6A14E7D4" w14:textId="683E6E09" w:rsidR="004665E0" w:rsidRPr="00A94785" w:rsidRDefault="002A6D88" w:rsidP="004665E0">
      <w:pPr>
        <w:tabs>
          <w:tab w:val="left" w:pos="850"/>
          <w:tab w:val="left" w:pos="1191"/>
          <w:tab w:val="left" w:pos="1531"/>
        </w:tabs>
        <w:spacing w:after="0" w:line="240" w:lineRule="auto"/>
        <w:jc w:val="both"/>
        <w:rPr>
          <w:rFonts w:ascii="Times New Roman" w:eastAsia="Calibri" w:hAnsi="Times New Roman" w:cs="Times New Roman"/>
          <w:sz w:val="24"/>
          <w:szCs w:val="24"/>
          <w:u w:val="single"/>
        </w:rPr>
      </w:pPr>
      <w:r w:rsidRPr="00A94785">
        <w:rPr>
          <w:rFonts w:ascii="Times New Roman" w:eastAsia="SimSun" w:hAnsi="Times New Roman" w:cs="Times New Roman"/>
          <w:bCs/>
          <w:sz w:val="24"/>
          <w:szCs w:val="24"/>
          <w:u w:val="single"/>
          <w:lang w:eastAsia="zh-CN"/>
        </w:rPr>
        <w:lastRenderedPageBreak/>
        <w:t xml:space="preserve">Grafikon </w:t>
      </w:r>
      <w:r w:rsidR="005323C8" w:rsidRPr="00A94785">
        <w:rPr>
          <w:rFonts w:ascii="Times New Roman" w:eastAsia="SimSun" w:hAnsi="Times New Roman" w:cs="Times New Roman"/>
          <w:bCs/>
          <w:sz w:val="24"/>
          <w:szCs w:val="24"/>
          <w:u w:val="single"/>
          <w:lang w:eastAsia="zh-CN"/>
        </w:rPr>
        <w:t>1</w:t>
      </w:r>
      <w:r w:rsidR="00375117">
        <w:rPr>
          <w:rFonts w:ascii="Times New Roman" w:eastAsia="SimSun" w:hAnsi="Times New Roman" w:cs="Times New Roman"/>
          <w:bCs/>
          <w:sz w:val="24"/>
          <w:szCs w:val="24"/>
          <w:u w:val="single"/>
          <w:lang w:eastAsia="zh-CN"/>
        </w:rPr>
        <w:t>.</w:t>
      </w:r>
    </w:p>
    <w:p w14:paraId="3F0E9E3C" w14:textId="77777777" w:rsidR="004665E0" w:rsidRPr="004665E0" w:rsidRDefault="00A46D3A" w:rsidP="004665E0">
      <w:pPr>
        <w:tabs>
          <w:tab w:val="left" w:pos="850"/>
          <w:tab w:val="left" w:pos="1191"/>
          <w:tab w:val="left" w:pos="1531"/>
        </w:tabs>
        <w:spacing w:after="0" w:line="240" w:lineRule="auto"/>
        <w:jc w:val="both"/>
        <w:rPr>
          <w:rFonts w:ascii="Times New Roman" w:eastAsia="SimSun" w:hAnsi="Times New Roman" w:cs="Times New Roman"/>
          <w:sz w:val="24"/>
          <w:szCs w:val="24"/>
          <w:lang w:eastAsia="zh-CN"/>
        </w:rPr>
      </w:pPr>
      <w:r>
        <w:rPr>
          <w:noProof/>
          <w:lang w:eastAsia="hr-HR"/>
        </w:rPr>
        <w:drawing>
          <wp:inline distT="0" distB="0" distL="0" distR="0" wp14:anchorId="320F21A1" wp14:editId="136AA6E1">
            <wp:extent cx="5878830" cy="8010525"/>
            <wp:effectExtent l="0" t="0" r="7620"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1710" cy="8041701"/>
                    </a:xfrm>
                    <a:prstGeom prst="rect">
                      <a:avLst/>
                    </a:prstGeom>
                    <a:noFill/>
                  </pic:spPr>
                </pic:pic>
              </a:graphicData>
            </a:graphic>
          </wp:inline>
        </w:drawing>
      </w:r>
    </w:p>
    <w:p w14:paraId="2ED9450E" w14:textId="0F468309" w:rsidR="000C4A67" w:rsidRDefault="000C4A67">
      <w:pPr>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br w:type="page"/>
      </w:r>
    </w:p>
    <w:p w14:paraId="603AFB15" w14:textId="0C74FC12" w:rsidR="00F93540" w:rsidRPr="00F93540" w:rsidRDefault="00E37C2F" w:rsidP="00B10AE2">
      <w:pPr>
        <w:pStyle w:val="Naslov3"/>
        <w:spacing w:after="0"/>
      </w:pPr>
      <w:bookmarkStart w:id="14" w:name="_Toc153353421"/>
      <w:r>
        <w:lastRenderedPageBreak/>
        <w:t>2.3.</w:t>
      </w:r>
      <w:r>
        <w:tab/>
      </w:r>
      <w:r w:rsidR="00714497">
        <w:t>Primjena s</w:t>
      </w:r>
      <w:r w:rsidR="00F93540" w:rsidRPr="00F93540">
        <w:t xml:space="preserve">pecifičnih mjera u analitičko </w:t>
      </w:r>
      <w:r w:rsidR="000C417F">
        <w:t>o</w:t>
      </w:r>
      <w:r w:rsidR="00F93540" w:rsidRPr="00F93540">
        <w:t>bavještajnom radu Ureda</w:t>
      </w:r>
      <w:bookmarkEnd w:id="14"/>
      <w:r w:rsidR="00F93540" w:rsidRPr="00F93540">
        <w:t xml:space="preserve"> </w:t>
      </w:r>
    </w:p>
    <w:p w14:paraId="51BF3C07" w14:textId="77777777" w:rsidR="00F93540" w:rsidRDefault="00F93540" w:rsidP="00B10AE2">
      <w:pPr>
        <w:spacing w:after="0" w:line="240" w:lineRule="auto"/>
        <w:jc w:val="both"/>
        <w:rPr>
          <w:rFonts w:ascii="Times New Roman" w:eastAsia="Calibri" w:hAnsi="Times New Roman" w:cs="Times New Roman"/>
          <w:b/>
          <w:sz w:val="24"/>
          <w:szCs w:val="24"/>
          <w:lang w:eastAsia="hr-HR"/>
        </w:rPr>
      </w:pPr>
    </w:p>
    <w:p w14:paraId="306ECBDC" w14:textId="244375D7" w:rsidR="00F93540" w:rsidRPr="00F93540" w:rsidRDefault="0010224B" w:rsidP="00F93540">
      <w:pPr>
        <w:spacing w:after="0" w:line="240" w:lineRule="auto"/>
        <w:jc w:val="both"/>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 xml:space="preserve">2.3.1. </w:t>
      </w:r>
      <w:r w:rsidR="00F93540" w:rsidRPr="00F93540">
        <w:rPr>
          <w:rFonts w:ascii="Times New Roman" w:eastAsia="Calibri" w:hAnsi="Times New Roman" w:cs="Times New Roman"/>
          <w:b/>
          <w:sz w:val="24"/>
          <w:szCs w:val="24"/>
          <w:lang w:eastAsia="hr-HR"/>
        </w:rPr>
        <w:t xml:space="preserve">Nalog </w:t>
      </w:r>
      <w:r w:rsidR="00714497">
        <w:rPr>
          <w:rFonts w:ascii="Times New Roman" w:eastAsia="Calibri" w:hAnsi="Times New Roman" w:cs="Times New Roman"/>
          <w:b/>
          <w:sz w:val="24"/>
          <w:szCs w:val="24"/>
          <w:lang w:eastAsia="hr-HR"/>
        </w:rPr>
        <w:t xml:space="preserve">obvezniku </w:t>
      </w:r>
      <w:r w:rsidR="00F93540" w:rsidRPr="00F93540">
        <w:rPr>
          <w:rFonts w:ascii="Times New Roman" w:eastAsia="Calibri" w:hAnsi="Times New Roman" w:cs="Times New Roman"/>
          <w:b/>
          <w:sz w:val="24"/>
          <w:szCs w:val="24"/>
          <w:lang w:eastAsia="hr-HR"/>
        </w:rPr>
        <w:t>za privremeno zaustavljanje obavljanja sumnjive transakcije</w:t>
      </w:r>
    </w:p>
    <w:p w14:paraId="258F7F4E" w14:textId="77777777" w:rsidR="00F93540" w:rsidRDefault="00F93540" w:rsidP="004665E0">
      <w:pPr>
        <w:spacing w:after="0" w:line="240" w:lineRule="auto"/>
        <w:jc w:val="both"/>
        <w:rPr>
          <w:rFonts w:ascii="Times New Roman" w:eastAsia="Calibri" w:hAnsi="Times New Roman" w:cs="Times New Roman"/>
          <w:sz w:val="24"/>
          <w:szCs w:val="24"/>
          <w:lang w:eastAsia="hr-HR"/>
        </w:rPr>
      </w:pPr>
    </w:p>
    <w:p w14:paraId="0D1398A6" w14:textId="6EFAFA88" w:rsidR="004665E0" w:rsidRPr="004665E0" w:rsidRDefault="004665E0" w:rsidP="004665E0">
      <w:pPr>
        <w:spacing w:after="0" w:line="240" w:lineRule="auto"/>
        <w:jc w:val="both"/>
        <w:rPr>
          <w:rFonts w:ascii="Calibri" w:eastAsia="Calibri" w:hAnsi="Calibri" w:cs="Times New Roman"/>
        </w:rPr>
      </w:pPr>
      <w:r w:rsidRPr="004665E0">
        <w:rPr>
          <w:rFonts w:ascii="Times New Roman" w:eastAsia="Calibri" w:hAnsi="Times New Roman" w:cs="Times New Roman"/>
          <w:sz w:val="24"/>
          <w:szCs w:val="24"/>
          <w:lang w:eastAsia="hr-HR"/>
        </w:rPr>
        <w:t xml:space="preserve">Nakon što obveznik (banka i dr.) obavijesti Ured o sumnjivoj transakciji prije njenog obavljanja, i ako je potrebno poduzeti hitne radnje da bi se provjerili podatci o sumnjivoj transakciji, određenoj osobi ili sredstvima ili ako Ured ocijeni da postoje razlozi za sumnju da je transakcija, određena osoba ili sredstva ili osoba povezana s pranjem novca i/ili financiranjem terorizma, Ured može pisanim nalogom naložiti obvezniku (banci i dr.) privremeno zaustavljanje obavljanja sumnjive transakcije </w:t>
      </w:r>
      <w:r w:rsidRPr="004665E0">
        <w:rPr>
          <w:rFonts w:ascii="Times New Roman" w:eastAsia="Times New Roman" w:hAnsi="Times New Roman" w:cs="Times New Roman"/>
          <w:sz w:val="24"/>
          <w:szCs w:val="24"/>
          <w:lang w:eastAsia="hr-HR"/>
        </w:rPr>
        <w:t>najdulje na rok od 120 sati od trenutka izdavanja naloga obvezniku</w:t>
      </w:r>
      <w:r w:rsidR="00E205F1">
        <w:rPr>
          <w:rFonts w:ascii="Times New Roman" w:eastAsia="Times New Roman" w:hAnsi="Times New Roman" w:cs="Times New Roman"/>
          <w:sz w:val="24"/>
          <w:szCs w:val="24"/>
          <w:lang w:eastAsia="hr-HR"/>
        </w:rPr>
        <w:t>.</w:t>
      </w:r>
      <w:r w:rsidRPr="004665E0">
        <w:rPr>
          <w:rFonts w:ascii="Times New Roman" w:eastAsia="Calibri" w:hAnsi="Times New Roman" w:cs="Times New Roman"/>
          <w:sz w:val="24"/>
          <w:szCs w:val="24"/>
          <w:lang w:eastAsia="hr-HR"/>
        </w:rPr>
        <w:t xml:space="preserve"> Ured je dužan o </w:t>
      </w:r>
      <w:r w:rsidR="004E52B9">
        <w:rPr>
          <w:rFonts w:ascii="Times New Roman" w:eastAsia="Calibri" w:hAnsi="Times New Roman" w:cs="Times New Roman"/>
          <w:sz w:val="24"/>
          <w:szCs w:val="24"/>
          <w:lang w:eastAsia="hr-HR"/>
        </w:rPr>
        <w:t xml:space="preserve">izdanom </w:t>
      </w:r>
      <w:r w:rsidR="00E205F1">
        <w:rPr>
          <w:rFonts w:ascii="Times New Roman" w:eastAsia="Calibri" w:hAnsi="Times New Roman" w:cs="Times New Roman"/>
          <w:sz w:val="24"/>
          <w:szCs w:val="24"/>
          <w:lang w:eastAsia="hr-HR"/>
        </w:rPr>
        <w:t>n</w:t>
      </w:r>
      <w:r w:rsidR="004E52B9">
        <w:rPr>
          <w:rFonts w:ascii="Times New Roman" w:eastAsia="Calibri" w:hAnsi="Times New Roman" w:cs="Times New Roman"/>
          <w:sz w:val="24"/>
          <w:szCs w:val="24"/>
          <w:lang w:eastAsia="hr-HR"/>
        </w:rPr>
        <w:t>alogu</w:t>
      </w:r>
      <w:r w:rsidRPr="004665E0">
        <w:rPr>
          <w:rFonts w:ascii="Times New Roman" w:eastAsia="Calibri" w:hAnsi="Times New Roman" w:cs="Times New Roman"/>
          <w:sz w:val="24"/>
          <w:szCs w:val="24"/>
          <w:lang w:eastAsia="hr-HR"/>
        </w:rPr>
        <w:t xml:space="preserve"> odmah obavijestiti nadležno državno odvjetništvo Republike Hrvatske (članak 117. Zakona). </w:t>
      </w:r>
    </w:p>
    <w:p w14:paraId="4743EDEC" w14:textId="77777777" w:rsidR="004665E0" w:rsidRPr="004665E0" w:rsidRDefault="004665E0" w:rsidP="00B10AE2">
      <w:pPr>
        <w:spacing w:after="0" w:line="240" w:lineRule="auto"/>
        <w:jc w:val="both"/>
        <w:rPr>
          <w:rFonts w:ascii="Times New Roman" w:eastAsia="Calibri" w:hAnsi="Times New Roman" w:cs="Times New Roman"/>
          <w:sz w:val="24"/>
          <w:szCs w:val="24"/>
          <w:lang w:eastAsia="hr-HR"/>
        </w:rPr>
      </w:pPr>
    </w:p>
    <w:p w14:paraId="3167F9B2" w14:textId="1E48775B" w:rsidR="00B10AE2" w:rsidRDefault="004665E0" w:rsidP="00B10AE2">
      <w:pPr>
        <w:spacing w:after="0" w:line="240" w:lineRule="auto"/>
      </w:pPr>
      <w:r w:rsidRPr="00374E80">
        <w:rPr>
          <w:rFonts w:ascii="Times New Roman" w:eastAsia="Calibri" w:hAnsi="Times New Roman" w:cs="Times New Roman"/>
          <w:sz w:val="24"/>
          <w:szCs w:val="24"/>
        </w:rPr>
        <w:t xml:space="preserve">Tablica </w:t>
      </w:r>
      <w:r w:rsidR="0010224B" w:rsidRPr="00374E80">
        <w:rPr>
          <w:rFonts w:ascii="Times New Roman" w:eastAsia="Calibri" w:hAnsi="Times New Roman" w:cs="Times New Roman"/>
          <w:sz w:val="24"/>
          <w:szCs w:val="24"/>
        </w:rPr>
        <w:t>9</w:t>
      </w:r>
      <w:r w:rsidRPr="00374E80">
        <w:rPr>
          <w:rFonts w:ascii="Times New Roman" w:eastAsia="Calibri" w:hAnsi="Times New Roman" w:cs="Times New Roman"/>
          <w:sz w:val="24"/>
          <w:szCs w:val="24"/>
        </w:rPr>
        <w:t xml:space="preserve">. </w:t>
      </w:r>
      <w:r w:rsidRPr="00374E80">
        <w:rPr>
          <w:rFonts w:ascii="Times New Roman" w:eastAsia="Calibri" w:hAnsi="Times New Roman" w:cs="Times New Roman"/>
          <w:sz w:val="24"/>
          <w:szCs w:val="24"/>
          <w:lang w:eastAsia="hr-HR"/>
        </w:rPr>
        <w:t xml:space="preserve">Nalozi </w:t>
      </w:r>
      <w:r w:rsidR="00B10AE2">
        <w:rPr>
          <w:rFonts w:ascii="Times New Roman" w:eastAsia="Calibri" w:hAnsi="Times New Roman" w:cs="Times New Roman"/>
          <w:sz w:val="24"/>
          <w:szCs w:val="24"/>
          <w:lang w:eastAsia="hr-HR"/>
        </w:rPr>
        <w:t xml:space="preserve">Ureda </w:t>
      </w:r>
      <w:r w:rsidRPr="00374E80">
        <w:rPr>
          <w:rFonts w:ascii="Times New Roman" w:eastAsia="Calibri" w:hAnsi="Times New Roman" w:cs="Times New Roman"/>
          <w:sz w:val="24"/>
          <w:szCs w:val="24"/>
          <w:lang w:eastAsia="hr-HR"/>
        </w:rPr>
        <w:t xml:space="preserve">za privremeno zaustavljanje obavljanja sumnjive transakcije </w:t>
      </w:r>
      <w:r w:rsidR="00B10AE2">
        <w:rPr>
          <w:lang w:eastAsia="hr-HR"/>
        </w:rPr>
        <w:fldChar w:fldCharType="begin"/>
      </w:r>
      <w:r w:rsidR="00B10AE2">
        <w:rPr>
          <w:lang w:eastAsia="hr-HR"/>
        </w:rPr>
        <w:instrText xml:space="preserve"> LINK Excel.Sheet.12 "C:\\Users\\abilus\\Desktop\\Posao\\TABLICE ANALITIKE.xlsx" "List6!R1C1:R6C3" \a \f 4 \h </w:instrText>
      </w:r>
      <w:r w:rsidR="007248E8">
        <w:rPr>
          <w:lang w:eastAsia="hr-HR"/>
        </w:rPr>
        <w:instrText xml:space="preserve"> \* MERGEFORMAT </w:instrText>
      </w:r>
      <w:r w:rsidR="00B10AE2">
        <w:rPr>
          <w:lang w:eastAsia="hr-HR"/>
        </w:rPr>
        <w:fldChar w:fldCharType="separate"/>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1701"/>
      </w:tblGrid>
      <w:tr w:rsidR="00B10AE2" w:rsidRPr="00B10AE2" w14:paraId="66F68D0C" w14:textId="77777777" w:rsidTr="007248E8">
        <w:trPr>
          <w:trHeight w:hRule="exact" w:val="802"/>
        </w:trPr>
        <w:tc>
          <w:tcPr>
            <w:tcW w:w="5382" w:type="dxa"/>
            <w:shd w:val="clear" w:color="000000" w:fill="DEEAF6"/>
            <w:vAlign w:val="center"/>
            <w:hideMark/>
          </w:tcPr>
          <w:p w14:paraId="7A8EC772" w14:textId="2DA86CF0" w:rsidR="00B10AE2" w:rsidRPr="00B10AE2" w:rsidRDefault="00B10AE2" w:rsidP="00B10AE2">
            <w:pPr>
              <w:spacing w:after="0" w:line="240" w:lineRule="auto"/>
              <w:jc w:val="center"/>
              <w:rPr>
                <w:rFonts w:ascii="Times New Roman" w:eastAsia="Times New Roman" w:hAnsi="Times New Roman" w:cs="Times New Roman"/>
                <w:b/>
                <w:bCs/>
                <w:color w:val="000000"/>
                <w:lang w:eastAsia="hr-HR"/>
              </w:rPr>
            </w:pPr>
            <w:r w:rsidRPr="00B10AE2">
              <w:rPr>
                <w:rFonts w:ascii="Times New Roman" w:eastAsia="Times New Roman" w:hAnsi="Times New Roman" w:cs="Times New Roman"/>
                <w:b/>
                <w:bCs/>
                <w:color w:val="000000"/>
                <w:lang w:eastAsia="hr-HR"/>
              </w:rPr>
              <w:t>NALOZI ZA PRIVREMENO ZAUSTAVLJANJE OBAVLJANJA SUMNJIVE TRANSAKCIJE</w:t>
            </w:r>
          </w:p>
        </w:tc>
        <w:tc>
          <w:tcPr>
            <w:tcW w:w="1701" w:type="dxa"/>
            <w:shd w:val="clear" w:color="000000" w:fill="DEEAF6"/>
            <w:vAlign w:val="center"/>
            <w:hideMark/>
          </w:tcPr>
          <w:p w14:paraId="528661D0" w14:textId="77777777" w:rsidR="00B10AE2" w:rsidRPr="00B10AE2" w:rsidRDefault="00B10AE2" w:rsidP="00B10AE2">
            <w:pPr>
              <w:spacing w:after="0" w:line="240" w:lineRule="auto"/>
              <w:jc w:val="center"/>
              <w:rPr>
                <w:rFonts w:ascii="Times New Roman" w:eastAsia="Times New Roman" w:hAnsi="Times New Roman" w:cs="Times New Roman"/>
                <w:b/>
                <w:bCs/>
                <w:color w:val="000000"/>
                <w:lang w:eastAsia="hr-HR"/>
              </w:rPr>
            </w:pPr>
            <w:r w:rsidRPr="00B10AE2">
              <w:rPr>
                <w:rFonts w:ascii="Times New Roman" w:eastAsia="Times New Roman" w:hAnsi="Times New Roman" w:cs="Times New Roman"/>
                <w:b/>
                <w:bCs/>
                <w:color w:val="000000"/>
                <w:lang w:eastAsia="hr-HR"/>
              </w:rPr>
              <w:t>2021.</w:t>
            </w:r>
          </w:p>
        </w:tc>
        <w:tc>
          <w:tcPr>
            <w:tcW w:w="1701" w:type="dxa"/>
            <w:shd w:val="clear" w:color="000000" w:fill="DEEAF6"/>
            <w:vAlign w:val="center"/>
            <w:hideMark/>
          </w:tcPr>
          <w:p w14:paraId="08635D14" w14:textId="77777777" w:rsidR="00B10AE2" w:rsidRPr="00B10AE2" w:rsidRDefault="00B10AE2" w:rsidP="00B10AE2">
            <w:pPr>
              <w:spacing w:after="0" w:line="240" w:lineRule="auto"/>
              <w:jc w:val="center"/>
              <w:rPr>
                <w:rFonts w:ascii="Times New Roman" w:eastAsia="Times New Roman" w:hAnsi="Times New Roman" w:cs="Times New Roman"/>
                <w:b/>
                <w:bCs/>
                <w:color w:val="000000"/>
                <w:lang w:eastAsia="hr-HR"/>
              </w:rPr>
            </w:pPr>
            <w:r w:rsidRPr="00B10AE2">
              <w:rPr>
                <w:rFonts w:ascii="Times New Roman" w:eastAsia="Times New Roman" w:hAnsi="Times New Roman" w:cs="Times New Roman"/>
                <w:b/>
                <w:bCs/>
                <w:color w:val="000000"/>
                <w:lang w:eastAsia="hr-HR"/>
              </w:rPr>
              <w:t>2022.</w:t>
            </w:r>
          </w:p>
        </w:tc>
      </w:tr>
      <w:tr w:rsidR="00B10AE2" w:rsidRPr="00B10AE2" w14:paraId="7D3B1D0D" w14:textId="77777777" w:rsidTr="007248E8">
        <w:trPr>
          <w:trHeight w:hRule="exact" w:val="399"/>
        </w:trPr>
        <w:tc>
          <w:tcPr>
            <w:tcW w:w="5382" w:type="dxa"/>
            <w:shd w:val="clear" w:color="000000" w:fill="F2F2F2"/>
            <w:vAlign w:val="center"/>
            <w:hideMark/>
          </w:tcPr>
          <w:p w14:paraId="1B8DFBD3" w14:textId="77777777" w:rsidR="00B10AE2" w:rsidRPr="00B10AE2" w:rsidRDefault="00B10AE2" w:rsidP="00B10AE2">
            <w:pPr>
              <w:spacing w:after="0" w:line="240" w:lineRule="auto"/>
              <w:rPr>
                <w:rFonts w:ascii="Times New Roman" w:eastAsia="Times New Roman" w:hAnsi="Times New Roman" w:cs="Times New Roman"/>
                <w:color w:val="000000"/>
                <w:lang w:eastAsia="hr-HR"/>
              </w:rPr>
            </w:pPr>
            <w:r w:rsidRPr="00B10AE2">
              <w:rPr>
                <w:rFonts w:ascii="Times New Roman" w:eastAsia="Times New Roman" w:hAnsi="Times New Roman" w:cs="Times New Roman"/>
                <w:color w:val="000000"/>
                <w:lang w:eastAsia="hr-HR"/>
              </w:rPr>
              <w:t xml:space="preserve">BROJ IZDANIH NALOGA </w:t>
            </w:r>
          </w:p>
        </w:tc>
        <w:tc>
          <w:tcPr>
            <w:tcW w:w="1701" w:type="dxa"/>
            <w:shd w:val="clear" w:color="000000" w:fill="F2F2F2"/>
            <w:vAlign w:val="center"/>
            <w:hideMark/>
          </w:tcPr>
          <w:p w14:paraId="310287CC" w14:textId="77777777" w:rsidR="00B10AE2" w:rsidRPr="00B10AE2" w:rsidRDefault="00B10AE2" w:rsidP="00B10AE2">
            <w:pPr>
              <w:spacing w:after="0" w:line="240" w:lineRule="auto"/>
              <w:jc w:val="center"/>
              <w:rPr>
                <w:rFonts w:ascii="Times New Roman" w:eastAsia="Times New Roman" w:hAnsi="Times New Roman" w:cs="Times New Roman"/>
                <w:color w:val="000000"/>
                <w:lang w:eastAsia="hr-HR"/>
              </w:rPr>
            </w:pPr>
            <w:r w:rsidRPr="00B10AE2">
              <w:rPr>
                <w:rFonts w:ascii="Times New Roman" w:eastAsia="Times New Roman" w:hAnsi="Times New Roman" w:cs="Times New Roman"/>
                <w:color w:val="000000"/>
                <w:lang w:eastAsia="hr-HR"/>
              </w:rPr>
              <w:t>50</w:t>
            </w:r>
          </w:p>
        </w:tc>
        <w:tc>
          <w:tcPr>
            <w:tcW w:w="1701" w:type="dxa"/>
            <w:shd w:val="clear" w:color="000000" w:fill="F2F2F2"/>
            <w:vAlign w:val="center"/>
            <w:hideMark/>
          </w:tcPr>
          <w:p w14:paraId="49207526" w14:textId="77777777" w:rsidR="00B10AE2" w:rsidRPr="00B10AE2" w:rsidRDefault="00B10AE2" w:rsidP="00B10AE2">
            <w:pPr>
              <w:spacing w:after="0" w:line="240" w:lineRule="auto"/>
              <w:jc w:val="center"/>
              <w:rPr>
                <w:rFonts w:ascii="Times New Roman" w:eastAsia="Times New Roman" w:hAnsi="Times New Roman" w:cs="Times New Roman"/>
                <w:color w:val="000000"/>
                <w:lang w:eastAsia="hr-HR"/>
              </w:rPr>
            </w:pPr>
            <w:r w:rsidRPr="00B10AE2">
              <w:rPr>
                <w:rFonts w:ascii="Times New Roman" w:eastAsia="Times New Roman" w:hAnsi="Times New Roman" w:cs="Times New Roman"/>
                <w:color w:val="000000"/>
                <w:lang w:eastAsia="hr-HR"/>
              </w:rPr>
              <w:t>56</w:t>
            </w:r>
          </w:p>
        </w:tc>
      </w:tr>
      <w:tr w:rsidR="00B10AE2" w:rsidRPr="00B10AE2" w14:paraId="189EAC1C" w14:textId="77777777" w:rsidTr="007248E8">
        <w:trPr>
          <w:trHeight w:hRule="exact" w:val="399"/>
        </w:trPr>
        <w:tc>
          <w:tcPr>
            <w:tcW w:w="5382" w:type="dxa"/>
            <w:shd w:val="clear" w:color="000000" w:fill="F2F2F2"/>
            <w:vAlign w:val="center"/>
            <w:hideMark/>
          </w:tcPr>
          <w:p w14:paraId="5FD66B4A" w14:textId="77777777" w:rsidR="00B10AE2" w:rsidRPr="00B10AE2" w:rsidRDefault="00B10AE2" w:rsidP="00B10AE2">
            <w:pPr>
              <w:spacing w:after="0" w:line="240" w:lineRule="auto"/>
              <w:rPr>
                <w:rFonts w:ascii="Times New Roman" w:eastAsia="Times New Roman" w:hAnsi="Times New Roman" w:cs="Times New Roman"/>
                <w:color w:val="000000"/>
                <w:lang w:eastAsia="hr-HR"/>
              </w:rPr>
            </w:pPr>
            <w:r w:rsidRPr="00B10AE2">
              <w:rPr>
                <w:rFonts w:ascii="Times New Roman" w:eastAsia="Times New Roman" w:hAnsi="Times New Roman" w:cs="Times New Roman"/>
                <w:color w:val="000000"/>
                <w:lang w:eastAsia="hr-HR"/>
              </w:rPr>
              <w:t xml:space="preserve">BROJ OSOBA U NALOZIMA </w:t>
            </w:r>
          </w:p>
        </w:tc>
        <w:tc>
          <w:tcPr>
            <w:tcW w:w="1701" w:type="dxa"/>
            <w:shd w:val="clear" w:color="000000" w:fill="F2F2F2"/>
            <w:vAlign w:val="center"/>
            <w:hideMark/>
          </w:tcPr>
          <w:p w14:paraId="3FDEE18E" w14:textId="77777777" w:rsidR="00B10AE2" w:rsidRPr="00B10AE2" w:rsidRDefault="00B10AE2" w:rsidP="00B10AE2">
            <w:pPr>
              <w:spacing w:after="0" w:line="240" w:lineRule="auto"/>
              <w:jc w:val="center"/>
              <w:rPr>
                <w:rFonts w:ascii="Times New Roman" w:eastAsia="Times New Roman" w:hAnsi="Times New Roman" w:cs="Times New Roman"/>
                <w:color w:val="000000"/>
                <w:lang w:eastAsia="hr-HR"/>
              </w:rPr>
            </w:pPr>
            <w:r w:rsidRPr="00B10AE2">
              <w:rPr>
                <w:rFonts w:ascii="Times New Roman" w:eastAsia="Times New Roman" w:hAnsi="Times New Roman" w:cs="Times New Roman"/>
                <w:color w:val="000000"/>
                <w:lang w:eastAsia="hr-HR"/>
              </w:rPr>
              <w:t>43</w:t>
            </w:r>
          </w:p>
        </w:tc>
        <w:tc>
          <w:tcPr>
            <w:tcW w:w="1701" w:type="dxa"/>
            <w:shd w:val="clear" w:color="000000" w:fill="F2F2F2"/>
            <w:vAlign w:val="center"/>
            <w:hideMark/>
          </w:tcPr>
          <w:p w14:paraId="647FDF19" w14:textId="77777777" w:rsidR="00B10AE2" w:rsidRPr="00B10AE2" w:rsidRDefault="00B10AE2" w:rsidP="00B10AE2">
            <w:pPr>
              <w:spacing w:after="0" w:line="240" w:lineRule="auto"/>
              <w:jc w:val="center"/>
              <w:rPr>
                <w:rFonts w:ascii="Times New Roman" w:eastAsia="Times New Roman" w:hAnsi="Times New Roman" w:cs="Times New Roman"/>
                <w:color w:val="000000"/>
                <w:lang w:eastAsia="hr-HR"/>
              </w:rPr>
            </w:pPr>
            <w:r w:rsidRPr="00B10AE2">
              <w:rPr>
                <w:rFonts w:ascii="Times New Roman" w:eastAsia="Times New Roman" w:hAnsi="Times New Roman" w:cs="Times New Roman"/>
                <w:color w:val="000000"/>
                <w:lang w:eastAsia="hr-HR"/>
              </w:rPr>
              <w:t>38</w:t>
            </w:r>
          </w:p>
        </w:tc>
      </w:tr>
      <w:tr w:rsidR="00B10AE2" w:rsidRPr="00B10AE2" w14:paraId="35C34613" w14:textId="77777777" w:rsidTr="007248E8">
        <w:trPr>
          <w:trHeight w:hRule="exact" w:val="399"/>
        </w:trPr>
        <w:tc>
          <w:tcPr>
            <w:tcW w:w="5382" w:type="dxa"/>
            <w:shd w:val="clear" w:color="000000" w:fill="F2F2F2"/>
            <w:vAlign w:val="center"/>
            <w:hideMark/>
          </w:tcPr>
          <w:p w14:paraId="1A3D6279" w14:textId="77777777" w:rsidR="00B10AE2" w:rsidRPr="00B10AE2" w:rsidRDefault="00B10AE2" w:rsidP="00B10AE2">
            <w:pPr>
              <w:spacing w:after="0" w:line="240" w:lineRule="auto"/>
              <w:rPr>
                <w:rFonts w:ascii="Times New Roman" w:eastAsia="Times New Roman" w:hAnsi="Times New Roman" w:cs="Times New Roman"/>
                <w:color w:val="000000"/>
                <w:lang w:eastAsia="hr-HR"/>
              </w:rPr>
            </w:pPr>
            <w:r w:rsidRPr="00B10AE2">
              <w:rPr>
                <w:rFonts w:ascii="Times New Roman" w:eastAsia="Times New Roman" w:hAnsi="Times New Roman" w:cs="Times New Roman"/>
                <w:color w:val="000000"/>
                <w:lang w:eastAsia="hr-HR"/>
              </w:rPr>
              <w:t>BROJ RAČUNA U NALOZIMA</w:t>
            </w:r>
          </w:p>
        </w:tc>
        <w:tc>
          <w:tcPr>
            <w:tcW w:w="1701" w:type="dxa"/>
            <w:shd w:val="clear" w:color="000000" w:fill="F2F2F2"/>
            <w:vAlign w:val="center"/>
            <w:hideMark/>
          </w:tcPr>
          <w:p w14:paraId="3FF78D8E" w14:textId="77777777" w:rsidR="00B10AE2" w:rsidRPr="00B10AE2" w:rsidRDefault="00B10AE2" w:rsidP="00B10AE2">
            <w:pPr>
              <w:spacing w:after="0" w:line="240" w:lineRule="auto"/>
              <w:jc w:val="center"/>
              <w:rPr>
                <w:rFonts w:ascii="Times New Roman" w:eastAsia="Times New Roman" w:hAnsi="Times New Roman" w:cs="Times New Roman"/>
                <w:color w:val="000000"/>
                <w:lang w:eastAsia="hr-HR"/>
              </w:rPr>
            </w:pPr>
            <w:r w:rsidRPr="00B10AE2">
              <w:rPr>
                <w:rFonts w:ascii="Times New Roman" w:eastAsia="Times New Roman" w:hAnsi="Times New Roman" w:cs="Times New Roman"/>
                <w:color w:val="000000"/>
                <w:lang w:eastAsia="hr-HR"/>
              </w:rPr>
              <w:t>51</w:t>
            </w:r>
          </w:p>
        </w:tc>
        <w:tc>
          <w:tcPr>
            <w:tcW w:w="1701" w:type="dxa"/>
            <w:shd w:val="clear" w:color="000000" w:fill="F2F2F2"/>
            <w:vAlign w:val="center"/>
            <w:hideMark/>
          </w:tcPr>
          <w:p w14:paraId="16FE5303" w14:textId="77777777" w:rsidR="00B10AE2" w:rsidRPr="00B10AE2" w:rsidRDefault="00B10AE2" w:rsidP="00B10AE2">
            <w:pPr>
              <w:spacing w:after="0" w:line="240" w:lineRule="auto"/>
              <w:jc w:val="center"/>
              <w:rPr>
                <w:rFonts w:ascii="Times New Roman" w:eastAsia="Times New Roman" w:hAnsi="Times New Roman" w:cs="Times New Roman"/>
                <w:color w:val="000000"/>
                <w:lang w:eastAsia="hr-HR"/>
              </w:rPr>
            </w:pPr>
            <w:r w:rsidRPr="00B10AE2">
              <w:rPr>
                <w:rFonts w:ascii="Times New Roman" w:eastAsia="Times New Roman" w:hAnsi="Times New Roman" w:cs="Times New Roman"/>
                <w:color w:val="000000"/>
                <w:lang w:eastAsia="hr-HR"/>
              </w:rPr>
              <w:t>67</w:t>
            </w:r>
          </w:p>
        </w:tc>
      </w:tr>
      <w:tr w:rsidR="00B10AE2" w:rsidRPr="00B10AE2" w14:paraId="14C7D82E" w14:textId="77777777" w:rsidTr="007248E8">
        <w:trPr>
          <w:trHeight w:hRule="exact" w:val="399"/>
        </w:trPr>
        <w:tc>
          <w:tcPr>
            <w:tcW w:w="5382" w:type="dxa"/>
            <w:shd w:val="clear" w:color="000000" w:fill="F2F2F2"/>
            <w:vAlign w:val="center"/>
            <w:hideMark/>
          </w:tcPr>
          <w:p w14:paraId="1F641248" w14:textId="77777777" w:rsidR="00B10AE2" w:rsidRPr="00B10AE2" w:rsidRDefault="00B10AE2" w:rsidP="00B10AE2">
            <w:pPr>
              <w:spacing w:after="0" w:line="240" w:lineRule="auto"/>
              <w:rPr>
                <w:rFonts w:ascii="Times New Roman" w:eastAsia="Times New Roman" w:hAnsi="Times New Roman" w:cs="Times New Roman"/>
                <w:color w:val="000000"/>
                <w:lang w:eastAsia="hr-HR"/>
              </w:rPr>
            </w:pPr>
            <w:r w:rsidRPr="00B10AE2">
              <w:rPr>
                <w:rFonts w:ascii="Times New Roman" w:eastAsia="Times New Roman" w:hAnsi="Times New Roman" w:cs="Times New Roman"/>
                <w:color w:val="000000"/>
                <w:lang w:eastAsia="hr-HR"/>
              </w:rPr>
              <w:t>BROJ OBVEZNIKA U NALOZIMA</w:t>
            </w:r>
          </w:p>
        </w:tc>
        <w:tc>
          <w:tcPr>
            <w:tcW w:w="1701" w:type="dxa"/>
            <w:shd w:val="clear" w:color="000000" w:fill="F2F2F2"/>
            <w:vAlign w:val="center"/>
            <w:hideMark/>
          </w:tcPr>
          <w:p w14:paraId="5D1E23A7" w14:textId="77777777" w:rsidR="00B10AE2" w:rsidRPr="00B10AE2" w:rsidRDefault="00B10AE2" w:rsidP="00B10AE2">
            <w:pPr>
              <w:spacing w:after="0" w:line="240" w:lineRule="auto"/>
              <w:jc w:val="center"/>
              <w:rPr>
                <w:rFonts w:ascii="Times New Roman" w:eastAsia="Times New Roman" w:hAnsi="Times New Roman" w:cs="Times New Roman"/>
                <w:color w:val="000000"/>
                <w:lang w:eastAsia="hr-HR"/>
              </w:rPr>
            </w:pPr>
            <w:r w:rsidRPr="00B10AE2">
              <w:rPr>
                <w:rFonts w:ascii="Times New Roman" w:eastAsia="Times New Roman" w:hAnsi="Times New Roman" w:cs="Times New Roman"/>
                <w:color w:val="000000"/>
                <w:lang w:eastAsia="hr-HR"/>
              </w:rPr>
              <w:t>11</w:t>
            </w:r>
          </w:p>
        </w:tc>
        <w:tc>
          <w:tcPr>
            <w:tcW w:w="1701" w:type="dxa"/>
            <w:shd w:val="clear" w:color="000000" w:fill="F2F2F2"/>
            <w:vAlign w:val="center"/>
            <w:hideMark/>
          </w:tcPr>
          <w:p w14:paraId="684AB327" w14:textId="77777777" w:rsidR="00B10AE2" w:rsidRPr="00B10AE2" w:rsidRDefault="00B10AE2" w:rsidP="00B10AE2">
            <w:pPr>
              <w:spacing w:after="0" w:line="240" w:lineRule="auto"/>
              <w:jc w:val="center"/>
              <w:rPr>
                <w:rFonts w:ascii="Times New Roman" w:eastAsia="Times New Roman" w:hAnsi="Times New Roman" w:cs="Times New Roman"/>
                <w:color w:val="000000"/>
                <w:lang w:eastAsia="hr-HR"/>
              </w:rPr>
            </w:pPr>
            <w:r w:rsidRPr="00B10AE2">
              <w:rPr>
                <w:rFonts w:ascii="Times New Roman" w:eastAsia="Times New Roman" w:hAnsi="Times New Roman" w:cs="Times New Roman"/>
                <w:color w:val="000000"/>
                <w:lang w:eastAsia="hr-HR"/>
              </w:rPr>
              <w:t>16</w:t>
            </w:r>
          </w:p>
        </w:tc>
      </w:tr>
      <w:tr w:rsidR="00B10AE2" w:rsidRPr="00B10AE2" w14:paraId="097020D6" w14:textId="77777777" w:rsidTr="007248E8">
        <w:trPr>
          <w:trHeight w:hRule="exact" w:val="399"/>
        </w:trPr>
        <w:tc>
          <w:tcPr>
            <w:tcW w:w="5382" w:type="dxa"/>
            <w:shd w:val="clear" w:color="000000" w:fill="DEEAF6"/>
            <w:vAlign w:val="center"/>
            <w:hideMark/>
          </w:tcPr>
          <w:p w14:paraId="51BD1D99" w14:textId="77777777" w:rsidR="00B10AE2" w:rsidRPr="00B10AE2" w:rsidRDefault="00B10AE2" w:rsidP="00B10AE2">
            <w:pPr>
              <w:spacing w:after="0" w:line="240" w:lineRule="auto"/>
              <w:jc w:val="center"/>
              <w:rPr>
                <w:rFonts w:ascii="Times New Roman" w:eastAsia="Times New Roman" w:hAnsi="Times New Roman" w:cs="Times New Roman"/>
                <w:b/>
                <w:bCs/>
                <w:color w:val="000000"/>
                <w:lang w:eastAsia="hr-HR"/>
              </w:rPr>
            </w:pPr>
            <w:r w:rsidRPr="00B10AE2">
              <w:rPr>
                <w:rFonts w:ascii="Times New Roman" w:eastAsia="Times New Roman" w:hAnsi="Times New Roman" w:cs="Times New Roman"/>
                <w:b/>
                <w:bCs/>
                <w:color w:val="000000"/>
                <w:lang w:eastAsia="hr-HR"/>
              </w:rPr>
              <w:t>VRIJEDNOST U EURIMA</w:t>
            </w:r>
          </w:p>
        </w:tc>
        <w:tc>
          <w:tcPr>
            <w:tcW w:w="1701" w:type="dxa"/>
            <w:shd w:val="clear" w:color="000000" w:fill="DEEAF6"/>
            <w:vAlign w:val="center"/>
            <w:hideMark/>
          </w:tcPr>
          <w:p w14:paraId="5F255BF5" w14:textId="77777777" w:rsidR="00B10AE2" w:rsidRPr="00B10AE2" w:rsidRDefault="00B10AE2" w:rsidP="00B10AE2">
            <w:pPr>
              <w:spacing w:after="0" w:line="240" w:lineRule="auto"/>
              <w:jc w:val="center"/>
              <w:rPr>
                <w:rFonts w:ascii="Times New Roman" w:eastAsia="Times New Roman" w:hAnsi="Times New Roman" w:cs="Times New Roman"/>
                <w:b/>
                <w:bCs/>
                <w:color w:val="000000"/>
                <w:lang w:eastAsia="hr-HR"/>
              </w:rPr>
            </w:pPr>
            <w:r w:rsidRPr="00B10AE2">
              <w:rPr>
                <w:rFonts w:ascii="Times New Roman" w:eastAsia="Times New Roman" w:hAnsi="Times New Roman" w:cs="Times New Roman"/>
                <w:b/>
                <w:bCs/>
                <w:color w:val="000000"/>
                <w:lang w:eastAsia="hr-HR"/>
              </w:rPr>
              <w:t>4.411.199,71</w:t>
            </w:r>
          </w:p>
        </w:tc>
        <w:tc>
          <w:tcPr>
            <w:tcW w:w="1701" w:type="dxa"/>
            <w:shd w:val="clear" w:color="000000" w:fill="DEEAF6"/>
            <w:vAlign w:val="center"/>
            <w:hideMark/>
          </w:tcPr>
          <w:p w14:paraId="3745BCFE" w14:textId="77777777" w:rsidR="00B10AE2" w:rsidRPr="00B10AE2" w:rsidRDefault="00B10AE2" w:rsidP="00B10AE2">
            <w:pPr>
              <w:spacing w:after="0" w:line="240" w:lineRule="auto"/>
              <w:jc w:val="center"/>
              <w:rPr>
                <w:rFonts w:ascii="Times New Roman" w:eastAsia="Times New Roman" w:hAnsi="Times New Roman" w:cs="Times New Roman"/>
                <w:b/>
                <w:bCs/>
                <w:color w:val="000000"/>
                <w:lang w:eastAsia="hr-HR"/>
              </w:rPr>
            </w:pPr>
            <w:r w:rsidRPr="00B10AE2">
              <w:rPr>
                <w:rFonts w:ascii="Times New Roman" w:eastAsia="Times New Roman" w:hAnsi="Times New Roman" w:cs="Times New Roman"/>
                <w:b/>
                <w:bCs/>
                <w:color w:val="000000"/>
                <w:lang w:eastAsia="hr-HR"/>
              </w:rPr>
              <w:t>110.406.372,73</w:t>
            </w:r>
          </w:p>
        </w:tc>
      </w:tr>
    </w:tbl>
    <w:p w14:paraId="1FDE134F" w14:textId="21908CA3" w:rsidR="004665E0" w:rsidRPr="004665E0" w:rsidRDefault="00B10AE2" w:rsidP="004665E0">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fldChar w:fldCharType="end"/>
      </w:r>
    </w:p>
    <w:p w14:paraId="25978482" w14:textId="71D621B7" w:rsidR="00F93540" w:rsidRDefault="004E52B9" w:rsidP="00F9354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004665E0" w:rsidRPr="004665E0">
        <w:rPr>
          <w:rFonts w:ascii="Times New Roman" w:eastAsia="Times New Roman" w:hAnsi="Times New Roman" w:cs="Times New Roman"/>
          <w:sz w:val="24"/>
          <w:szCs w:val="24"/>
          <w:lang w:eastAsia="hr-HR"/>
        </w:rPr>
        <w:t xml:space="preserve"> svim slučajevima u kojima je Ured izdao naloge za privremeno zaustavljanje obavljanje sumnjive transakcije, isti su potvrđeni rješenjem nadležnog suda o privremenoj obustavi izvršenja transakcije. </w:t>
      </w:r>
      <w:bookmarkStart w:id="15" w:name="_Toc74662610"/>
    </w:p>
    <w:p w14:paraId="3FB3993A" w14:textId="77777777" w:rsidR="0010224B" w:rsidRDefault="0010224B" w:rsidP="00F93540">
      <w:pPr>
        <w:spacing w:after="0" w:line="240" w:lineRule="auto"/>
        <w:jc w:val="both"/>
        <w:rPr>
          <w:rFonts w:ascii="Times New Roman" w:eastAsia="Calibri" w:hAnsi="Times New Roman" w:cs="Arial"/>
          <w:b/>
          <w:noProof/>
          <w:sz w:val="24"/>
          <w:szCs w:val="44"/>
          <w:lang w:eastAsia="hr-HR"/>
        </w:rPr>
      </w:pPr>
    </w:p>
    <w:p w14:paraId="1CD45A00" w14:textId="69B3D1C7" w:rsidR="004665E0" w:rsidRPr="00F93540" w:rsidRDefault="0010224B" w:rsidP="00F93540">
      <w:pPr>
        <w:spacing w:after="0" w:line="240" w:lineRule="auto"/>
        <w:jc w:val="both"/>
        <w:rPr>
          <w:rFonts w:ascii="Times New Roman" w:eastAsia="Times New Roman" w:hAnsi="Times New Roman" w:cs="Times New Roman"/>
          <w:sz w:val="24"/>
          <w:szCs w:val="24"/>
          <w:lang w:eastAsia="hr-HR"/>
        </w:rPr>
      </w:pPr>
      <w:r>
        <w:rPr>
          <w:rFonts w:ascii="Times New Roman" w:eastAsia="Calibri" w:hAnsi="Times New Roman" w:cs="Arial"/>
          <w:b/>
          <w:noProof/>
          <w:sz w:val="24"/>
          <w:szCs w:val="44"/>
          <w:lang w:eastAsia="hr-HR"/>
        </w:rPr>
        <w:t xml:space="preserve">2.3.2. </w:t>
      </w:r>
      <w:r w:rsidR="004665E0" w:rsidRPr="004665E0">
        <w:rPr>
          <w:rFonts w:ascii="Times New Roman" w:eastAsia="Calibri" w:hAnsi="Times New Roman" w:cs="Arial"/>
          <w:b/>
          <w:noProof/>
          <w:sz w:val="24"/>
          <w:szCs w:val="44"/>
          <w:lang w:eastAsia="hr-HR"/>
        </w:rPr>
        <w:t>Nalog obvezniku za stalno praćenje financijskog poslovanje stranke</w:t>
      </w:r>
      <w:bookmarkEnd w:id="15"/>
    </w:p>
    <w:p w14:paraId="198D6DCC" w14:textId="77777777" w:rsidR="004665E0" w:rsidRPr="004665E0" w:rsidRDefault="004665E0" w:rsidP="004665E0">
      <w:pPr>
        <w:spacing w:after="0" w:line="240" w:lineRule="auto"/>
        <w:jc w:val="both"/>
        <w:rPr>
          <w:rFonts w:ascii="Times New Roman" w:eastAsia="Calibri" w:hAnsi="Times New Roman" w:cs="Times New Roman"/>
          <w:sz w:val="24"/>
          <w:szCs w:val="24"/>
          <w:lang w:eastAsia="hr-HR"/>
        </w:rPr>
      </w:pPr>
    </w:p>
    <w:p w14:paraId="61B9DCA3" w14:textId="04A9F65B" w:rsidR="004665E0" w:rsidRPr="004665E0" w:rsidRDefault="004665E0" w:rsidP="004665E0">
      <w:pPr>
        <w:spacing w:after="0" w:line="240" w:lineRule="auto"/>
        <w:jc w:val="both"/>
        <w:rPr>
          <w:rFonts w:ascii="Times New Roman" w:eastAsia="Calibri" w:hAnsi="Times New Roman" w:cs="Times New Roman"/>
          <w:sz w:val="24"/>
          <w:szCs w:val="24"/>
          <w:lang w:eastAsia="hr-HR"/>
        </w:rPr>
      </w:pPr>
      <w:r w:rsidRPr="004665E0">
        <w:rPr>
          <w:rFonts w:ascii="Times New Roman" w:eastAsia="Calibri" w:hAnsi="Times New Roman" w:cs="Times New Roman"/>
          <w:sz w:val="24"/>
          <w:szCs w:val="24"/>
          <w:lang w:eastAsia="hr-HR"/>
        </w:rPr>
        <w:t>Tijekom analitičke-obavještajne obrade Ured može naložiti obvezniku (banci i dr.) stalno praćenje financijskog poslovanja stranke (kako je prikazano u Tablici 1</w:t>
      </w:r>
      <w:r w:rsidR="0010224B">
        <w:rPr>
          <w:rFonts w:ascii="Times New Roman" w:eastAsia="Calibri" w:hAnsi="Times New Roman" w:cs="Times New Roman"/>
          <w:sz w:val="24"/>
          <w:szCs w:val="24"/>
          <w:lang w:eastAsia="hr-HR"/>
        </w:rPr>
        <w:t>0</w:t>
      </w:r>
      <w:r w:rsidRPr="004665E0">
        <w:rPr>
          <w:rFonts w:ascii="Times New Roman" w:eastAsia="Calibri" w:hAnsi="Times New Roman" w:cs="Times New Roman"/>
          <w:sz w:val="24"/>
          <w:szCs w:val="24"/>
          <w:lang w:eastAsia="hr-HR"/>
        </w:rPr>
        <w:t xml:space="preserve">.) </w:t>
      </w:r>
      <w:r w:rsidRPr="004665E0">
        <w:rPr>
          <w:rFonts w:ascii="Times New Roman" w:eastAsia="Calibri" w:hAnsi="Times New Roman" w:cs="Times New Roman"/>
          <w:sz w:val="24"/>
          <w:szCs w:val="24"/>
        </w:rPr>
        <w:t>kada u vezi sa strankom ili financijskim poslovanjem stranke postoje razlozi za sumnju na pranje novca i/ili financiranje terorizma ili druge osobe za koju je moguće osnovano zaključiti da je pomagala ili sudjelovala u transakcijama ili financijskom poslovanju stranke u vezi s kojom postoji sumnja na pranje novca ili financiranje terorizma. Obveznik (b</w:t>
      </w:r>
      <w:r w:rsidRPr="004665E0">
        <w:rPr>
          <w:rFonts w:ascii="Times New Roman" w:eastAsia="Calibri" w:hAnsi="Times New Roman" w:cs="Times New Roman"/>
          <w:sz w:val="24"/>
          <w:szCs w:val="24"/>
          <w:lang w:eastAsia="hr-HR"/>
        </w:rPr>
        <w:t xml:space="preserve">anka i dr.) redovito obavještava Ured o transakcijama ili poslovima koje kod obveznika izvrše ili imaju namjeru izvršiti navedene osobe. </w:t>
      </w:r>
      <w:r w:rsidRPr="004665E0">
        <w:rPr>
          <w:rFonts w:ascii="Times New Roman" w:eastAsia="Calibri" w:hAnsi="Times New Roman" w:cs="Times New Roman"/>
          <w:sz w:val="24"/>
          <w:szCs w:val="24"/>
        </w:rPr>
        <w:t xml:space="preserve">Provođenje naloga za stalno praćenje financijskoga poslovanja stranke može trajati najviše tri mjeseca, a u opravdanim slučajevima trajanje naloga može se produljiti svaki put za još jedan mjesec, </w:t>
      </w:r>
      <w:r w:rsidR="004E52B9">
        <w:rPr>
          <w:rFonts w:ascii="Times New Roman" w:eastAsia="Calibri" w:hAnsi="Times New Roman" w:cs="Times New Roman"/>
          <w:sz w:val="24"/>
          <w:szCs w:val="24"/>
        </w:rPr>
        <w:t>nalog</w:t>
      </w:r>
      <w:r w:rsidRPr="004665E0">
        <w:rPr>
          <w:rFonts w:ascii="Times New Roman" w:eastAsia="Calibri" w:hAnsi="Times New Roman" w:cs="Times New Roman"/>
          <w:sz w:val="24"/>
          <w:szCs w:val="24"/>
        </w:rPr>
        <w:t xml:space="preserve"> može trajati najdulje šest mjeseci </w:t>
      </w:r>
      <w:r w:rsidRPr="004665E0">
        <w:rPr>
          <w:rFonts w:ascii="Times New Roman" w:eastAsia="Calibri" w:hAnsi="Times New Roman" w:cs="Times New Roman"/>
          <w:sz w:val="24"/>
          <w:szCs w:val="24"/>
          <w:lang w:eastAsia="hr-HR"/>
        </w:rPr>
        <w:t xml:space="preserve">(članak 119. Zakona). </w:t>
      </w:r>
    </w:p>
    <w:p w14:paraId="32523587" w14:textId="77777777" w:rsidR="004665E0" w:rsidRPr="004665E0" w:rsidRDefault="004665E0" w:rsidP="004665E0">
      <w:pPr>
        <w:spacing w:after="0" w:line="240" w:lineRule="auto"/>
        <w:jc w:val="both"/>
        <w:rPr>
          <w:rFonts w:ascii="Times New Roman" w:eastAsia="Calibri" w:hAnsi="Times New Roman" w:cs="Times New Roman"/>
          <w:sz w:val="24"/>
          <w:szCs w:val="24"/>
          <w:lang w:eastAsia="hr-HR"/>
        </w:rPr>
      </w:pPr>
    </w:p>
    <w:p w14:paraId="6A1EE4D4" w14:textId="22A27F8F" w:rsidR="007248E8" w:rsidRDefault="004665E0" w:rsidP="004665E0">
      <w:pPr>
        <w:spacing w:after="0" w:line="240" w:lineRule="auto"/>
      </w:pPr>
      <w:r w:rsidRPr="00374E80">
        <w:rPr>
          <w:rFonts w:ascii="Times New Roman" w:eastAsia="Calibri" w:hAnsi="Times New Roman" w:cs="Times New Roman"/>
          <w:sz w:val="24"/>
          <w:szCs w:val="24"/>
          <w:lang w:eastAsia="hr-HR"/>
        </w:rPr>
        <w:t>Tablica 1</w:t>
      </w:r>
      <w:r w:rsidR="0010224B" w:rsidRPr="00374E80">
        <w:rPr>
          <w:rFonts w:ascii="Times New Roman" w:eastAsia="Calibri" w:hAnsi="Times New Roman" w:cs="Times New Roman"/>
          <w:sz w:val="24"/>
          <w:szCs w:val="24"/>
          <w:lang w:eastAsia="hr-HR"/>
        </w:rPr>
        <w:t>0</w:t>
      </w:r>
      <w:r w:rsidRPr="00374E80">
        <w:rPr>
          <w:rFonts w:ascii="Times New Roman" w:eastAsia="Calibri" w:hAnsi="Times New Roman" w:cs="Times New Roman"/>
          <w:sz w:val="24"/>
          <w:szCs w:val="24"/>
          <w:lang w:eastAsia="hr-HR"/>
        </w:rPr>
        <w:t xml:space="preserve">. </w:t>
      </w:r>
      <w:r w:rsidRPr="00374E80">
        <w:rPr>
          <w:rFonts w:ascii="Times New Roman" w:eastAsia="Calibri" w:hAnsi="Times New Roman" w:cs="Times New Roman"/>
          <w:bCs/>
          <w:sz w:val="24"/>
          <w:szCs w:val="24"/>
        </w:rPr>
        <w:t>Nalozi</w:t>
      </w:r>
      <w:r w:rsidR="00B10AE2">
        <w:rPr>
          <w:rFonts w:ascii="Times New Roman" w:eastAsia="Calibri" w:hAnsi="Times New Roman" w:cs="Times New Roman"/>
          <w:bCs/>
          <w:sz w:val="24"/>
          <w:szCs w:val="24"/>
        </w:rPr>
        <w:t xml:space="preserve"> Ureda</w:t>
      </w:r>
      <w:r w:rsidRPr="00374E80">
        <w:rPr>
          <w:rFonts w:ascii="Times New Roman" w:eastAsia="Calibri" w:hAnsi="Times New Roman" w:cs="Times New Roman"/>
          <w:bCs/>
          <w:sz w:val="24"/>
          <w:szCs w:val="24"/>
        </w:rPr>
        <w:t xml:space="preserve"> za stalno praćenje </w:t>
      </w:r>
      <w:r w:rsidR="00B10AE2">
        <w:rPr>
          <w:rFonts w:ascii="Times New Roman" w:eastAsia="Calibri" w:hAnsi="Times New Roman" w:cs="Times New Roman"/>
          <w:bCs/>
          <w:sz w:val="24"/>
          <w:szCs w:val="24"/>
        </w:rPr>
        <w:t>financijskog poslovanja stranke</w:t>
      </w:r>
      <w:r w:rsidR="007248E8">
        <w:fldChar w:fldCharType="begin"/>
      </w:r>
      <w:r w:rsidR="007248E8">
        <w:instrText xml:space="preserve"> LINK Excel.Sheet.12 "C:\\Users\\abilus\\Desktop\\Posao\\TABLICE ANALITIKE.xlsx" "List7!R1C1:R4C3" \a \f 4 \h  \* MERGEFORMAT </w:instrText>
      </w:r>
      <w:r w:rsidR="007248E8">
        <w:fldChar w:fldCharType="separate"/>
      </w:r>
    </w:p>
    <w:tbl>
      <w:tblPr>
        <w:tblW w:w="7200" w:type="dxa"/>
        <w:tblLook w:val="04A0" w:firstRow="1" w:lastRow="0" w:firstColumn="1" w:lastColumn="0" w:noHBand="0" w:noVBand="1"/>
      </w:tblPr>
      <w:tblGrid>
        <w:gridCol w:w="4880"/>
        <w:gridCol w:w="1160"/>
        <w:gridCol w:w="1160"/>
      </w:tblGrid>
      <w:tr w:rsidR="007248E8" w:rsidRPr="007248E8" w14:paraId="783F3727" w14:textId="77777777" w:rsidTr="007248E8">
        <w:trPr>
          <w:trHeight w:val="639"/>
        </w:trPr>
        <w:tc>
          <w:tcPr>
            <w:tcW w:w="4880"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44C62638" w14:textId="1CF124D6" w:rsidR="007248E8" w:rsidRPr="007248E8" w:rsidRDefault="007248E8" w:rsidP="007248E8">
            <w:pPr>
              <w:spacing w:after="0" w:line="240" w:lineRule="auto"/>
              <w:jc w:val="center"/>
              <w:rPr>
                <w:rFonts w:ascii="Times New Roman" w:eastAsia="Times New Roman" w:hAnsi="Times New Roman" w:cs="Times New Roman"/>
                <w:b/>
                <w:bCs/>
                <w:color w:val="000000"/>
                <w:lang w:eastAsia="hr-HR"/>
              </w:rPr>
            </w:pPr>
            <w:r w:rsidRPr="007248E8">
              <w:rPr>
                <w:rFonts w:ascii="Times New Roman" w:eastAsia="Times New Roman" w:hAnsi="Times New Roman" w:cs="Times New Roman"/>
                <w:b/>
                <w:bCs/>
                <w:color w:val="000000"/>
                <w:lang w:eastAsia="hr-HR"/>
              </w:rPr>
              <w:t>NALOZI ZA STALNO PRAĆENJE FINANCIJSKOG POSLOVANJA STRANAKA</w:t>
            </w:r>
          </w:p>
        </w:tc>
        <w:tc>
          <w:tcPr>
            <w:tcW w:w="1160" w:type="dxa"/>
            <w:tcBorders>
              <w:top w:val="single" w:sz="4" w:space="0" w:color="auto"/>
              <w:left w:val="nil"/>
              <w:bottom w:val="single" w:sz="4" w:space="0" w:color="auto"/>
              <w:right w:val="single" w:sz="4" w:space="0" w:color="auto"/>
            </w:tcBorders>
            <w:shd w:val="clear" w:color="000000" w:fill="DEEAF6"/>
            <w:vAlign w:val="center"/>
            <w:hideMark/>
          </w:tcPr>
          <w:p w14:paraId="00B512C8" w14:textId="77777777" w:rsidR="007248E8" w:rsidRPr="007248E8" w:rsidRDefault="007248E8" w:rsidP="007248E8">
            <w:pPr>
              <w:spacing w:after="0" w:line="240" w:lineRule="auto"/>
              <w:jc w:val="center"/>
              <w:rPr>
                <w:rFonts w:ascii="Times New Roman" w:eastAsia="Times New Roman" w:hAnsi="Times New Roman" w:cs="Times New Roman"/>
                <w:b/>
                <w:bCs/>
                <w:color w:val="000000"/>
                <w:lang w:eastAsia="hr-HR"/>
              </w:rPr>
            </w:pPr>
            <w:r w:rsidRPr="007248E8">
              <w:rPr>
                <w:rFonts w:ascii="Times New Roman" w:eastAsia="Times New Roman" w:hAnsi="Times New Roman" w:cs="Times New Roman"/>
                <w:b/>
                <w:bCs/>
                <w:color w:val="000000"/>
                <w:lang w:eastAsia="hr-HR"/>
              </w:rPr>
              <w:t>2021.</w:t>
            </w:r>
          </w:p>
        </w:tc>
        <w:tc>
          <w:tcPr>
            <w:tcW w:w="1160" w:type="dxa"/>
            <w:tcBorders>
              <w:top w:val="single" w:sz="4" w:space="0" w:color="auto"/>
              <w:left w:val="nil"/>
              <w:bottom w:val="single" w:sz="4" w:space="0" w:color="auto"/>
              <w:right w:val="single" w:sz="4" w:space="0" w:color="auto"/>
            </w:tcBorders>
            <w:shd w:val="clear" w:color="000000" w:fill="DEEAF6"/>
            <w:vAlign w:val="center"/>
            <w:hideMark/>
          </w:tcPr>
          <w:p w14:paraId="3D9E2D5E" w14:textId="77777777" w:rsidR="007248E8" w:rsidRPr="007248E8" w:rsidRDefault="007248E8" w:rsidP="007248E8">
            <w:pPr>
              <w:spacing w:after="0" w:line="240" w:lineRule="auto"/>
              <w:jc w:val="center"/>
              <w:rPr>
                <w:rFonts w:ascii="Times New Roman" w:eastAsia="Times New Roman" w:hAnsi="Times New Roman" w:cs="Times New Roman"/>
                <w:b/>
                <w:bCs/>
                <w:color w:val="000000"/>
                <w:lang w:eastAsia="hr-HR"/>
              </w:rPr>
            </w:pPr>
            <w:r w:rsidRPr="007248E8">
              <w:rPr>
                <w:rFonts w:ascii="Times New Roman" w:eastAsia="Times New Roman" w:hAnsi="Times New Roman" w:cs="Times New Roman"/>
                <w:b/>
                <w:bCs/>
                <w:color w:val="000000"/>
                <w:lang w:eastAsia="hr-HR"/>
              </w:rPr>
              <w:t>2022.</w:t>
            </w:r>
          </w:p>
        </w:tc>
      </w:tr>
      <w:tr w:rsidR="007248E8" w:rsidRPr="007248E8" w14:paraId="55D6CF57" w14:textId="77777777" w:rsidTr="007248E8">
        <w:trPr>
          <w:trHeight w:val="360"/>
        </w:trPr>
        <w:tc>
          <w:tcPr>
            <w:tcW w:w="4880" w:type="dxa"/>
            <w:tcBorders>
              <w:top w:val="nil"/>
              <w:left w:val="single" w:sz="4" w:space="0" w:color="auto"/>
              <w:bottom w:val="single" w:sz="4" w:space="0" w:color="auto"/>
              <w:right w:val="single" w:sz="4" w:space="0" w:color="auto"/>
            </w:tcBorders>
            <w:shd w:val="clear" w:color="000000" w:fill="F2F2F2"/>
            <w:vAlign w:val="center"/>
            <w:hideMark/>
          </w:tcPr>
          <w:p w14:paraId="2C33CDD4" w14:textId="77777777" w:rsidR="007248E8" w:rsidRPr="007248E8" w:rsidRDefault="007248E8" w:rsidP="007248E8">
            <w:pPr>
              <w:spacing w:after="0" w:line="240" w:lineRule="auto"/>
              <w:rPr>
                <w:rFonts w:ascii="Times New Roman" w:eastAsia="Times New Roman" w:hAnsi="Times New Roman" w:cs="Times New Roman"/>
                <w:color w:val="000000"/>
                <w:lang w:eastAsia="hr-HR"/>
              </w:rPr>
            </w:pPr>
            <w:r w:rsidRPr="007248E8">
              <w:rPr>
                <w:rFonts w:ascii="Times New Roman" w:eastAsia="Times New Roman" w:hAnsi="Times New Roman" w:cs="Times New Roman"/>
                <w:color w:val="000000"/>
                <w:lang w:eastAsia="hr-HR"/>
              </w:rPr>
              <w:t>BROJ IZDANIH NALOGA</w:t>
            </w:r>
          </w:p>
        </w:tc>
        <w:tc>
          <w:tcPr>
            <w:tcW w:w="1160" w:type="dxa"/>
            <w:tcBorders>
              <w:top w:val="nil"/>
              <w:left w:val="nil"/>
              <w:bottom w:val="single" w:sz="4" w:space="0" w:color="auto"/>
              <w:right w:val="single" w:sz="4" w:space="0" w:color="auto"/>
            </w:tcBorders>
            <w:shd w:val="clear" w:color="000000" w:fill="F2F2F2"/>
            <w:vAlign w:val="center"/>
            <w:hideMark/>
          </w:tcPr>
          <w:p w14:paraId="5A6BFED4" w14:textId="77777777" w:rsidR="007248E8" w:rsidRPr="007248E8" w:rsidRDefault="007248E8" w:rsidP="007248E8">
            <w:pPr>
              <w:spacing w:after="0" w:line="240" w:lineRule="auto"/>
              <w:jc w:val="center"/>
              <w:rPr>
                <w:rFonts w:ascii="Times New Roman" w:eastAsia="Times New Roman" w:hAnsi="Times New Roman" w:cs="Times New Roman"/>
                <w:color w:val="000000"/>
                <w:lang w:eastAsia="hr-HR"/>
              </w:rPr>
            </w:pPr>
            <w:r w:rsidRPr="007248E8">
              <w:rPr>
                <w:rFonts w:ascii="Times New Roman" w:eastAsia="Times New Roman" w:hAnsi="Times New Roman" w:cs="Times New Roman"/>
                <w:color w:val="000000"/>
                <w:lang w:eastAsia="hr-HR"/>
              </w:rPr>
              <w:t>38</w:t>
            </w:r>
          </w:p>
        </w:tc>
        <w:tc>
          <w:tcPr>
            <w:tcW w:w="1160" w:type="dxa"/>
            <w:tcBorders>
              <w:top w:val="nil"/>
              <w:left w:val="nil"/>
              <w:bottom w:val="single" w:sz="4" w:space="0" w:color="auto"/>
              <w:right w:val="single" w:sz="4" w:space="0" w:color="auto"/>
            </w:tcBorders>
            <w:shd w:val="clear" w:color="000000" w:fill="F2F2F2"/>
            <w:vAlign w:val="center"/>
            <w:hideMark/>
          </w:tcPr>
          <w:p w14:paraId="7C1BE96C" w14:textId="77777777" w:rsidR="007248E8" w:rsidRPr="007248E8" w:rsidRDefault="007248E8" w:rsidP="007248E8">
            <w:pPr>
              <w:spacing w:after="0" w:line="240" w:lineRule="auto"/>
              <w:jc w:val="center"/>
              <w:rPr>
                <w:rFonts w:ascii="Times New Roman" w:eastAsia="Times New Roman" w:hAnsi="Times New Roman" w:cs="Times New Roman"/>
                <w:color w:val="000000"/>
                <w:lang w:eastAsia="hr-HR"/>
              </w:rPr>
            </w:pPr>
            <w:r w:rsidRPr="007248E8">
              <w:rPr>
                <w:rFonts w:ascii="Times New Roman" w:eastAsia="Times New Roman" w:hAnsi="Times New Roman" w:cs="Times New Roman"/>
                <w:color w:val="000000"/>
                <w:lang w:eastAsia="hr-HR"/>
              </w:rPr>
              <w:t>43</w:t>
            </w:r>
          </w:p>
        </w:tc>
      </w:tr>
      <w:tr w:rsidR="007248E8" w:rsidRPr="007248E8" w14:paraId="2AC3E93F" w14:textId="77777777" w:rsidTr="007248E8">
        <w:trPr>
          <w:trHeight w:val="360"/>
        </w:trPr>
        <w:tc>
          <w:tcPr>
            <w:tcW w:w="4880" w:type="dxa"/>
            <w:tcBorders>
              <w:top w:val="nil"/>
              <w:left w:val="single" w:sz="4" w:space="0" w:color="auto"/>
              <w:bottom w:val="single" w:sz="4" w:space="0" w:color="auto"/>
              <w:right w:val="single" w:sz="4" w:space="0" w:color="auto"/>
            </w:tcBorders>
            <w:shd w:val="clear" w:color="000000" w:fill="F2F2F2"/>
            <w:vAlign w:val="center"/>
            <w:hideMark/>
          </w:tcPr>
          <w:p w14:paraId="2CDD273B" w14:textId="77777777" w:rsidR="007248E8" w:rsidRPr="007248E8" w:rsidRDefault="007248E8" w:rsidP="007248E8">
            <w:pPr>
              <w:spacing w:after="0" w:line="240" w:lineRule="auto"/>
              <w:rPr>
                <w:rFonts w:ascii="Times New Roman" w:eastAsia="Times New Roman" w:hAnsi="Times New Roman" w:cs="Times New Roman"/>
                <w:color w:val="000000"/>
                <w:lang w:eastAsia="hr-HR"/>
              </w:rPr>
            </w:pPr>
            <w:r w:rsidRPr="007248E8">
              <w:rPr>
                <w:rFonts w:ascii="Times New Roman" w:eastAsia="Times New Roman" w:hAnsi="Times New Roman" w:cs="Times New Roman"/>
                <w:color w:val="000000"/>
                <w:lang w:eastAsia="hr-HR"/>
              </w:rPr>
              <w:t xml:space="preserve">BROJ OSOBA U NALOZIMA </w:t>
            </w:r>
          </w:p>
        </w:tc>
        <w:tc>
          <w:tcPr>
            <w:tcW w:w="1160" w:type="dxa"/>
            <w:tcBorders>
              <w:top w:val="nil"/>
              <w:left w:val="nil"/>
              <w:bottom w:val="single" w:sz="4" w:space="0" w:color="auto"/>
              <w:right w:val="single" w:sz="4" w:space="0" w:color="auto"/>
            </w:tcBorders>
            <w:shd w:val="clear" w:color="000000" w:fill="F2F2F2"/>
            <w:vAlign w:val="center"/>
            <w:hideMark/>
          </w:tcPr>
          <w:p w14:paraId="3B36C81E" w14:textId="77777777" w:rsidR="007248E8" w:rsidRPr="007248E8" w:rsidRDefault="007248E8" w:rsidP="007248E8">
            <w:pPr>
              <w:spacing w:after="0" w:line="240" w:lineRule="auto"/>
              <w:jc w:val="center"/>
              <w:rPr>
                <w:rFonts w:ascii="Times New Roman" w:eastAsia="Times New Roman" w:hAnsi="Times New Roman" w:cs="Times New Roman"/>
                <w:color w:val="000000"/>
                <w:lang w:eastAsia="hr-HR"/>
              </w:rPr>
            </w:pPr>
            <w:r w:rsidRPr="007248E8">
              <w:rPr>
                <w:rFonts w:ascii="Times New Roman" w:eastAsia="Times New Roman" w:hAnsi="Times New Roman" w:cs="Times New Roman"/>
                <w:color w:val="000000"/>
                <w:lang w:eastAsia="hr-HR"/>
              </w:rPr>
              <w:t>25</w:t>
            </w:r>
          </w:p>
        </w:tc>
        <w:tc>
          <w:tcPr>
            <w:tcW w:w="1160" w:type="dxa"/>
            <w:tcBorders>
              <w:top w:val="nil"/>
              <w:left w:val="nil"/>
              <w:bottom w:val="single" w:sz="4" w:space="0" w:color="auto"/>
              <w:right w:val="single" w:sz="4" w:space="0" w:color="auto"/>
            </w:tcBorders>
            <w:shd w:val="clear" w:color="000000" w:fill="F2F2F2"/>
            <w:vAlign w:val="center"/>
            <w:hideMark/>
          </w:tcPr>
          <w:p w14:paraId="3FA7FDE4" w14:textId="77777777" w:rsidR="007248E8" w:rsidRPr="007248E8" w:rsidRDefault="007248E8" w:rsidP="007248E8">
            <w:pPr>
              <w:spacing w:after="0" w:line="240" w:lineRule="auto"/>
              <w:jc w:val="center"/>
              <w:rPr>
                <w:rFonts w:ascii="Times New Roman" w:eastAsia="Times New Roman" w:hAnsi="Times New Roman" w:cs="Times New Roman"/>
                <w:color w:val="000000"/>
                <w:lang w:eastAsia="hr-HR"/>
              </w:rPr>
            </w:pPr>
            <w:r w:rsidRPr="007248E8">
              <w:rPr>
                <w:rFonts w:ascii="Times New Roman" w:eastAsia="Times New Roman" w:hAnsi="Times New Roman" w:cs="Times New Roman"/>
                <w:color w:val="000000"/>
                <w:lang w:eastAsia="hr-HR"/>
              </w:rPr>
              <w:t>36</w:t>
            </w:r>
          </w:p>
        </w:tc>
      </w:tr>
      <w:tr w:rsidR="007248E8" w:rsidRPr="007248E8" w14:paraId="6AB78188" w14:textId="77777777" w:rsidTr="007248E8">
        <w:trPr>
          <w:trHeight w:val="360"/>
        </w:trPr>
        <w:tc>
          <w:tcPr>
            <w:tcW w:w="4880" w:type="dxa"/>
            <w:tcBorders>
              <w:top w:val="nil"/>
              <w:left w:val="single" w:sz="4" w:space="0" w:color="auto"/>
              <w:bottom w:val="single" w:sz="4" w:space="0" w:color="auto"/>
              <w:right w:val="single" w:sz="4" w:space="0" w:color="auto"/>
            </w:tcBorders>
            <w:shd w:val="clear" w:color="000000" w:fill="F2F2F2"/>
            <w:vAlign w:val="center"/>
            <w:hideMark/>
          </w:tcPr>
          <w:p w14:paraId="38D7F26D" w14:textId="77777777" w:rsidR="007248E8" w:rsidRPr="007248E8" w:rsidRDefault="007248E8" w:rsidP="007248E8">
            <w:pPr>
              <w:spacing w:after="0" w:line="240" w:lineRule="auto"/>
              <w:rPr>
                <w:rFonts w:ascii="Times New Roman" w:eastAsia="Times New Roman" w:hAnsi="Times New Roman" w:cs="Times New Roman"/>
                <w:color w:val="000000"/>
                <w:lang w:eastAsia="hr-HR"/>
              </w:rPr>
            </w:pPr>
            <w:r w:rsidRPr="007248E8">
              <w:rPr>
                <w:rFonts w:ascii="Times New Roman" w:eastAsia="Times New Roman" w:hAnsi="Times New Roman" w:cs="Times New Roman"/>
                <w:color w:val="000000"/>
                <w:lang w:eastAsia="hr-HR"/>
              </w:rPr>
              <w:t>BROJ OBVEZNIKA U NALOZIMA</w:t>
            </w:r>
          </w:p>
        </w:tc>
        <w:tc>
          <w:tcPr>
            <w:tcW w:w="1160" w:type="dxa"/>
            <w:tcBorders>
              <w:top w:val="nil"/>
              <w:left w:val="nil"/>
              <w:bottom w:val="single" w:sz="4" w:space="0" w:color="auto"/>
              <w:right w:val="single" w:sz="4" w:space="0" w:color="auto"/>
            </w:tcBorders>
            <w:shd w:val="clear" w:color="000000" w:fill="F2F2F2"/>
            <w:vAlign w:val="center"/>
            <w:hideMark/>
          </w:tcPr>
          <w:p w14:paraId="4F7BFF96" w14:textId="77777777" w:rsidR="007248E8" w:rsidRPr="007248E8" w:rsidRDefault="007248E8" w:rsidP="007248E8">
            <w:pPr>
              <w:spacing w:after="0" w:line="240" w:lineRule="auto"/>
              <w:jc w:val="center"/>
              <w:rPr>
                <w:rFonts w:ascii="Times New Roman" w:eastAsia="Times New Roman" w:hAnsi="Times New Roman" w:cs="Times New Roman"/>
                <w:color w:val="000000"/>
                <w:lang w:eastAsia="hr-HR"/>
              </w:rPr>
            </w:pPr>
            <w:r w:rsidRPr="007248E8">
              <w:rPr>
                <w:rFonts w:ascii="Times New Roman" w:eastAsia="Times New Roman" w:hAnsi="Times New Roman" w:cs="Times New Roman"/>
                <w:color w:val="000000"/>
                <w:lang w:eastAsia="hr-HR"/>
              </w:rPr>
              <w:t>10</w:t>
            </w:r>
          </w:p>
        </w:tc>
        <w:tc>
          <w:tcPr>
            <w:tcW w:w="1160" w:type="dxa"/>
            <w:tcBorders>
              <w:top w:val="nil"/>
              <w:left w:val="nil"/>
              <w:bottom w:val="single" w:sz="4" w:space="0" w:color="auto"/>
              <w:right w:val="single" w:sz="4" w:space="0" w:color="auto"/>
            </w:tcBorders>
            <w:shd w:val="clear" w:color="000000" w:fill="F2F2F2"/>
            <w:vAlign w:val="center"/>
            <w:hideMark/>
          </w:tcPr>
          <w:p w14:paraId="6308FBFA" w14:textId="77777777" w:rsidR="007248E8" w:rsidRPr="007248E8" w:rsidRDefault="007248E8" w:rsidP="007248E8">
            <w:pPr>
              <w:spacing w:after="0" w:line="240" w:lineRule="auto"/>
              <w:jc w:val="center"/>
              <w:rPr>
                <w:rFonts w:ascii="Times New Roman" w:eastAsia="Times New Roman" w:hAnsi="Times New Roman" w:cs="Times New Roman"/>
                <w:color w:val="000000"/>
                <w:lang w:eastAsia="hr-HR"/>
              </w:rPr>
            </w:pPr>
            <w:r w:rsidRPr="007248E8">
              <w:rPr>
                <w:rFonts w:ascii="Times New Roman" w:eastAsia="Times New Roman" w:hAnsi="Times New Roman" w:cs="Times New Roman"/>
                <w:color w:val="000000"/>
                <w:lang w:eastAsia="hr-HR"/>
              </w:rPr>
              <w:t>12</w:t>
            </w:r>
          </w:p>
        </w:tc>
      </w:tr>
    </w:tbl>
    <w:p w14:paraId="5B65FE74" w14:textId="5CE6BB81" w:rsidR="007248E8" w:rsidRPr="00374E80" w:rsidRDefault="007248E8" w:rsidP="004665E0">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bCs/>
          <w:sz w:val="24"/>
          <w:szCs w:val="24"/>
        </w:rPr>
        <w:fldChar w:fldCharType="end"/>
      </w:r>
    </w:p>
    <w:p w14:paraId="2309E015" w14:textId="609083C0" w:rsidR="0085684C" w:rsidRPr="0085684C" w:rsidRDefault="00460E09" w:rsidP="00325094">
      <w:pPr>
        <w:pStyle w:val="Naslov3"/>
      </w:pPr>
      <w:bookmarkStart w:id="16" w:name="_Toc153353422"/>
      <w:r>
        <w:lastRenderedPageBreak/>
        <w:t>2.4.</w:t>
      </w:r>
      <w:r>
        <w:tab/>
      </w:r>
      <w:r w:rsidR="00E15E4B">
        <w:t>Statistički podatci o slučajevima Ureda</w:t>
      </w:r>
      <w:bookmarkEnd w:id="16"/>
    </w:p>
    <w:p w14:paraId="4CE65BB9" w14:textId="77777777" w:rsidR="0085684C" w:rsidRDefault="0085684C" w:rsidP="00E15E4B">
      <w:pPr>
        <w:spacing w:after="0" w:line="240" w:lineRule="auto"/>
        <w:jc w:val="both"/>
        <w:rPr>
          <w:rFonts w:ascii="Times New Roman" w:eastAsia="Calibri" w:hAnsi="Times New Roman" w:cs="Times New Roman"/>
          <w:sz w:val="24"/>
          <w:szCs w:val="24"/>
        </w:rPr>
      </w:pPr>
    </w:p>
    <w:p w14:paraId="3C5996BC" w14:textId="73376380" w:rsidR="006450D7" w:rsidRPr="006450D7" w:rsidRDefault="006450D7" w:rsidP="006450D7">
      <w:pPr>
        <w:spacing w:before="60" w:after="0" w:line="240" w:lineRule="auto"/>
        <w:jc w:val="both"/>
        <w:rPr>
          <w:rFonts w:ascii="Times New Roman" w:eastAsia="Times New Roman" w:hAnsi="Times New Roman" w:cs="Times New Roman"/>
          <w:sz w:val="24"/>
          <w:szCs w:val="24"/>
          <w:lang w:eastAsia="hr-HR"/>
        </w:rPr>
      </w:pPr>
      <w:r w:rsidRPr="006450D7">
        <w:rPr>
          <w:rFonts w:ascii="Times New Roman" w:eastAsia="Calibri" w:hAnsi="Times New Roman" w:cs="Times New Roman"/>
          <w:sz w:val="24"/>
          <w:szCs w:val="24"/>
        </w:rPr>
        <w:t xml:space="preserve">Ured dostavlja rezultate svojih operativnih analiza (slučajeve) nadležnim tijelima </w:t>
      </w:r>
      <w:r w:rsidR="00E205F1">
        <w:rPr>
          <w:rFonts w:ascii="Times New Roman" w:eastAsia="Calibri" w:hAnsi="Times New Roman" w:cs="Times New Roman"/>
          <w:sz w:val="24"/>
          <w:szCs w:val="24"/>
        </w:rPr>
        <w:t xml:space="preserve">i </w:t>
      </w:r>
      <w:r w:rsidRPr="006450D7">
        <w:rPr>
          <w:rFonts w:ascii="Times New Roman" w:eastAsia="Calibri" w:hAnsi="Times New Roman" w:cs="Times New Roman"/>
          <w:sz w:val="24"/>
          <w:szCs w:val="24"/>
        </w:rPr>
        <w:t>inozemnim financijsko-obavještajnih jedinica na daljnje postupanje i procesuiranje</w:t>
      </w:r>
      <w:r w:rsidRPr="006450D7">
        <w:rPr>
          <w:rFonts w:ascii="Times New Roman" w:eastAsia="Calibri" w:hAnsi="Times New Roman" w:cs="Times New Roman"/>
          <w:bCs/>
          <w:iCs/>
          <w:noProof/>
          <w:sz w:val="24"/>
          <w:szCs w:val="24"/>
          <w:lang w:eastAsia="hr-HR"/>
        </w:rPr>
        <w:t xml:space="preserve"> k</w:t>
      </w:r>
      <w:r w:rsidRPr="006450D7">
        <w:rPr>
          <w:rFonts w:ascii="Times New Roman" w:eastAsia="Calibri" w:hAnsi="Times New Roman" w:cs="Times New Roman"/>
          <w:sz w:val="24"/>
          <w:szCs w:val="24"/>
        </w:rPr>
        <w:t xml:space="preserve">ada na temelju analitičko-obavještajne obrade, uključujući operativnu analizu sumnjivih transakcija zaprimljenih od obveznika, podataka i informacija nadležnih tijela i inozemnih financijsko-obavještajnih jedinica te dokumentacije koju prikupi i zaprimi u skladu s Zakonom, u individualnom slučaju u vezi s transakcijom, određenom osobom ili sredstvima </w:t>
      </w:r>
      <w:r w:rsidR="004E52B9">
        <w:rPr>
          <w:rFonts w:ascii="Times New Roman" w:eastAsia="Calibri" w:hAnsi="Times New Roman" w:cs="Times New Roman"/>
          <w:sz w:val="24"/>
          <w:szCs w:val="24"/>
        </w:rPr>
        <w:t>utvrdi razloge</w:t>
      </w:r>
      <w:r w:rsidRPr="006450D7">
        <w:rPr>
          <w:rFonts w:ascii="Times New Roman" w:eastAsia="Calibri" w:hAnsi="Times New Roman" w:cs="Times New Roman"/>
          <w:sz w:val="24"/>
          <w:szCs w:val="24"/>
        </w:rPr>
        <w:t xml:space="preserve"> za sumnju na pranje novca i s time povezana predikatna kaznena djela i/ili financiranje terorizma u zemlji i/ili inozemstvu. (članak. 138. Zakona).</w:t>
      </w:r>
    </w:p>
    <w:p w14:paraId="53F86B8F" w14:textId="77777777" w:rsidR="006450D7" w:rsidRPr="006450D7" w:rsidRDefault="006450D7" w:rsidP="006450D7">
      <w:pPr>
        <w:spacing w:after="0" w:line="240" w:lineRule="auto"/>
        <w:jc w:val="both"/>
        <w:rPr>
          <w:rFonts w:ascii="Times New Roman" w:eastAsia="Times New Roman" w:hAnsi="Times New Roman" w:cs="Times New Roman"/>
          <w:sz w:val="24"/>
          <w:szCs w:val="24"/>
          <w:lang w:eastAsia="hr-HR"/>
        </w:rPr>
      </w:pPr>
    </w:p>
    <w:p w14:paraId="745565D9" w14:textId="2B9C96D5" w:rsidR="006450D7" w:rsidRPr="006450D7" w:rsidRDefault="006450D7" w:rsidP="006450D7">
      <w:pPr>
        <w:spacing w:after="0" w:line="240" w:lineRule="auto"/>
        <w:jc w:val="both"/>
        <w:rPr>
          <w:rFonts w:ascii="Times New Roman" w:eastAsia="Calibri" w:hAnsi="Times New Roman" w:cs="Arial"/>
          <w:sz w:val="24"/>
          <w:szCs w:val="24"/>
          <w:lang w:eastAsia="hr-HR"/>
        </w:rPr>
      </w:pPr>
      <w:r w:rsidRPr="006450D7">
        <w:rPr>
          <w:rFonts w:ascii="Times New Roman" w:eastAsia="Calibri" w:hAnsi="Times New Roman" w:cs="Times New Roman"/>
          <w:sz w:val="24"/>
          <w:szCs w:val="24"/>
        </w:rPr>
        <w:t>Ured slučajeve dostavlja nadležnim državnim tijelima na daljnje postupanje za potrebe provođenja daljnjih postupaka nadležnih državnih tijela (provođenje izvida i kriminalističkih obrada, financijskih istraga i kaznenih postupaka) u cilju pokretanja kaznenog postupka za kazneno djelo pranje novca, povezano predikatno kazneno djelo i kazneno djelo financiranje terorizma.</w:t>
      </w:r>
      <w:r w:rsidR="00E15E4B">
        <w:rPr>
          <w:rFonts w:ascii="Times New Roman" w:eastAsia="Calibri" w:hAnsi="Times New Roman" w:cs="Times New Roman"/>
          <w:sz w:val="24"/>
          <w:szCs w:val="24"/>
        </w:rPr>
        <w:t xml:space="preserve"> </w:t>
      </w:r>
      <w:r w:rsidR="00E205F1">
        <w:rPr>
          <w:rFonts w:ascii="Times New Roman" w:eastAsia="Calibri" w:hAnsi="Times New Roman" w:cs="Times New Roman"/>
          <w:sz w:val="24"/>
          <w:szCs w:val="24"/>
        </w:rPr>
        <w:t>S</w:t>
      </w:r>
      <w:r w:rsidRPr="00E15E4B">
        <w:rPr>
          <w:rFonts w:ascii="Times New Roman" w:eastAsia="Calibri" w:hAnsi="Times New Roman" w:cs="Arial"/>
          <w:sz w:val="24"/>
          <w:szCs w:val="24"/>
          <w:lang w:eastAsia="hr-HR"/>
        </w:rPr>
        <w:t>lučajevi koje je Ured proslijedio na daljnje postupanje nadležnim državnim tijelima i inozemnim financijsko-obavještajnim jedinicama sa sumnjom na pranje novca i financiranje terorizma predmet daljnjih postupaka tijela nadzora i kaznenog progona (provođenje izvida i kriminalističkih obrada, financijskih istraga i kaznenih postupaka) u cilju utvrđivanja nezakonitog karaktera sredstava analiziranih u sumnjivim transakcijama. Tek se donošenjem pravomoćne sudske presude za kazneno djelo pranja novca potvrđuje nezakonitost sredstava i ista trajno oduzimaju.</w:t>
      </w:r>
    </w:p>
    <w:p w14:paraId="0B31331E" w14:textId="77777777" w:rsidR="006450D7" w:rsidRPr="006450D7" w:rsidRDefault="006450D7" w:rsidP="006450D7">
      <w:pPr>
        <w:spacing w:before="60" w:after="0" w:line="240" w:lineRule="auto"/>
        <w:jc w:val="both"/>
        <w:rPr>
          <w:rFonts w:ascii="Times New Roman" w:eastAsia="Times New Roman" w:hAnsi="Times New Roman" w:cs="Times New Roman"/>
          <w:color w:val="323E4F" w:themeColor="text2" w:themeShade="BF"/>
          <w:sz w:val="24"/>
          <w:szCs w:val="24"/>
          <w:lang w:eastAsia="hr-HR"/>
        </w:rPr>
      </w:pPr>
    </w:p>
    <w:p w14:paraId="0B4DC979" w14:textId="16F870EF" w:rsidR="0018458C" w:rsidRDefault="0018458C" w:rsidP="006450D7">
      <w:pPr>
        <w:spacing w:after="0" w:line="240" w:lineRule="auto"/>
        <w:jc w:val="both"/>
      </w:pPr>
      <w:r>
        <w:rPr>
          <w:rFonts w:ascii="Times New Roman" w:eastAsia="Calibri" w:hAnsi="Times New Roman" w:cs="Times New Roman"/>
          <w:sz w:val="24"/>
          <w:szCs w:val="24"/>
          <w:lang w:eastAsia="hr-HR"/>
        </w:rPr>
        <w:t>O</w:t>
      </w:r>
      <w:r w:rsidR="006450D7" w:rsidRPr="006450D7">
        <w:rPr>
          <w:rFonts w:ascii="Times New Roman" w:eastAsia="Calibri" w:hAnsi="Times New Roman" w:cs="Times New Roman"/>
          <w:sz w:val="24"/>
          <w:szCs w:val="24"/>
          <w:lang w:eastAsia="hr-HR"/>
        </w:rPr>
        <w:t>perativn</w:t>
      </w:r>
      <w:r>
        <w:rPr>
          <w:rFonts w:ascii="Times New Roman" w:eastAsia="Calibri" w:hAnsi="Times New Roman" w:cs="Times New Roman"/>
          <w:sz w:val="24"/>
          <w:szCs w:val="24"/>
          <w:lang w:eastAsia="hr-HR"/>
        </w:rPr>
        <w:t>e</w:t>
      </w:r>
      <w:r w:rsidR="006450D7" w:rsidRPr="006450D7">
        <w:rPr>
          <w:rFonts w:ascii="Times New Roman" w:eastAsia="Calibri" w:hAnsi="Times New Roman" w:cs="Times New Roman"/>
          <w:sz w:val="24"/>
          <w:szCs w:val="24"/>
          <w:lang w:eastAsia="hr-HR"/>
        </w:rPr>
        <w:t xml:space="preserve"> analiza transakcija (OpAT-a) </w:t>
      </w:r>
      <w:r>
        <w:rPr>
          <w:rFonts w:ascii="Times New Roman" w:eastAsia="Calibri" w:hAnsi="Times New Roman" w:cs="Times New Roman"/>
          <w:sz w:val="24"/>
          <w:szCs w:val="24"/>
          <w:lang w:eastAsia="hr-HR"/>
        </w:rPr>
        <w:t>dostavljene od strane Ureda na daljnje postupanje</w:t>
      </w:r>
      <w:r w:rsidR="006450D7" w:rsidRPr="006450D7">
        <w:rPr>
          <w:rFonts w:ascii="Times New Roman" w:eastAsia="Calibri" w:hAnsi="Times New Roman" w:cs="Times New Roman"/>
          <w:sz w:val="24"/>
          <w:szCs w:val="24"/>
          <w:lang w:eastAsia="hr-HR"/>
        </w:rPr>
        <w:t>, Tablic</w:t>
      </w:r>
      <w:r>
        <w:rPr>
          <w:rFonts w:ascii="Times New Roman" w:eastAsia="Calibri" w:hAnsi="Times New Roman" w:cs="Times New Roman"/>
          <w:sz w:val="24"/>
          <w:szCs w:val="24"/>
          <w:lang w:eastAsia="hr-HR"/>
        </w:rPr>
        <w:t>a</w:t>
      </w:r>
      <w:r w:rsidR="006450D7" w:rsidRPr="006450D7">
        <w:rPr>
          <w:rFonts w:ascii="Times New Roman" w:eastAsia="Calibri" w:hAnsi="Times New Roman" w:cs="Times New Roman"/>
          <w:sz w:val="24"/>
          <w:szCs w:val="24"/>
          <w:lang w:eastAsia="hr-HR"/>
        </w:rPr>
        <w:t xml:space="preserve"> 1</w:t>
      </w:r>
      <w:r w:rsidR="006A72D3">
        <w:rPr>
          <w:rFonts w:ascii="Times New Roman" w:eastAsia="Calibri" w:hAnsi="Times New Roman" w:cs="Times New Roman"/>
          <w:sz w:val="24"/>
          <w:szCs w:val="24"/>
          <w:lang w:eastAsia="hr-HR"/>
        </w:rPr>
        <w:t>1</w:t>
      </w:r>
      <w:r w:rsidR="005323C8">
        <w:rPr>
          <w:rFonts w:ascii="Times New Roman" w:eastAsia="Calibri" w:hAnsi="Times New Roman" w:cs="Times New Roman"/>
          <w:sz w:val="24"/>
          <w:szCs w:val="24"/>
          <w:lang w:eastAsia="hr-HR"/>
        </w:rPr>
        <w:t>.</w:t>
      </w:r>
      <w:r>
        <w:rPr>
          <w:lang w:eastAsia="hr-HR"/>
        </w:rPr>
        <w:fldChar w:fldCharType="begin"/>
      </w:r>
      <w:r>
        <w:rPr>
          <w:lang w:eastAsia="hr-HR"/>
        </w:rPr>
        <w:instrText xml:space="preserve"> LINK Excel.Sheet.12 "C:\\Users\\abilus\\Desktop\\Posao\\TABLICE ANALITIKE.xlsx" "List8!R1C1:R12C7" \a \f 4 \h </w:instrText>
      </w:r>
      <w:r>
        <w:rPr>
          <w:lang w:eastAsia="hr-HR"/>
        </w:rPr>
        <w:fldChar w:fldCharType="separate"/>
      </w:r>
    </w:p>
    <w:tbl>
      <w:tblPr>
        <w:tblW w:w="8400" w:type="dxa"/>
        <w:tblLook w:val="04A0" w:firstRow="1" w:lastRow="0" w:firstColumn="1" w:lastColumn="0" w:noHBand="0" w:noVBand="1"/>
      </w:tblPr>
      <w:tblGrid>
        <w:gridCol w:w="4000"/>
        <w:gridCol w:w="620"/>
        <w:gridCol w:w="620"/>
        <w:gridCol w:w="960"/>
        <w:gridCol w:w="620"/>
        <w:gridCol w:w="620"/>
        <w:gridCol w:w="960"/>
      </w:tblGrid>
      <w:tr w:rsidR="0018458C" w:rsidRPr="0018458C" w14:paraId="24A6BCE5" w14:textId="77777777" w:rsidTr="0018458C">
        <w:trPr>
          <w:trHeight w:val="792"/>
        </w:trPr>
        <w:tc>
          <w:tcPr>
            <w:tcW w:w="4000" w:type="dxa"/>
            <w:tcBorders>
              <w:top w:val="single" w:sz="4" w:space="0" w:color="auto"/>
              <w:left w:val="single" w:sz="4" w:space="0" w:color="auto"/>
              <w:bottom w:val="single" w:sz="4" w:space="0" w:color="auto"/>
              <w:right w:val="nil"/>
            </w:tcBorders>
            <w:shd w:val="clear" w:color="000000" w:fill="F2F2F2"/>
            <w:vAlign w:val="center"/>
            <w:hideMark/>
          </w:tcPr>
          <w:p w14:paraId="058B0C61" w14:textId="4AB48B38" w:rsidR="0018458C" w:rsidRPr="0018458C" w:rsidRDefault="0018458C" w:rsidP="0018458C">
            <w:pPr>
              <w:spacing w:after="0" w:line="240" w:lineRule="auto"/>
              <w:jc w:val="center"/>
              <w:rPr>
                <w:rFonts w:ascii="Times New Roman" w:eastAsia="Times New Roman" w:hAnsi="Times New Roman" w:cs="Times New Roman"/>
                <w:b/>
                <w:bCs/>
                <w:color w:val="000000"/>
                <w:sz w:val="20"/>
                <w:szCs w:val="20"/>
                <w:lang w:eastAsia="hr-HR"/>
              </w:rPr>
            </w:pPr>
            <w:r w:rsidRPr="0018458C">
              <w:rPr>
                <w:rFonts w:ascii="Times New Roman" w:eastAsia="Times New Roman" w:hAnsi="Times New Roman" w:cs="Times New Roman"/>
                <w:b/>
                <w:bCs/>
                <w:color w:val="000000"/>
                <w:sz w:val="20"/>
                <w:szCs w:val="20"/>
                <w:lang w:eastAsia="hr-HR"/>
              </w:rPr>
              <w:t>PRIMATELJI PROSLIJEĐENIH OPERATIVNIH ANALIZA UREDA</w:t>
            </w:r>
          </w:p>
        </w:tc>
        <w:tc>
          <w:tcPr>
            <w:tcW w:w="2200"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4266A6E0" w14:textId="77777777" w:rsidR="0018458C" w:rsidRPr="0018458C" w:rsidRDefault="0018458C" w:rsidP="0018458C">
            <w:pPr>
              <w:spacing w:after="0" w:line="240" w:lineRule="auto"/>
              <w:jc w:val="center"/>
              <w:rPr>
                <w:rFonts w:ascii="Times New Roman" w:eastAsia="Times New Roman" w:hAnsi="Times New Roman" w:cs="Times New Roman"/>
                <w:b/>
                <w:bCs/>
                <w:color w:val="000000"/>
                <w:sz w:val="20"/>
                <w:szCs w:val="20"/>
                <w:lang w:eastAsia="hr-HR"/>
              </w:rPr>
            </w:pPr>
            <w:r w:rsidRPr="0018458C">
              <w:rPr>
                <w:rFonts w:ascii="Times New Roman" w:eastAsia="Times New Roman" w:hAnsi="Times New Roman" w:cs="Times New Roman"/>
                <w:b/>
                <w:bCs/>
                <w:color w:val="000000"/>
                <w:sz w:val="20"/>
                <w:szCs w:val="20"/>
                <w:lang w:eastAsia="hr-HR"/>
              </w:rPr>
              <w:t>2021.</w:t>
            </w:r>
          </w:p>
        </w:tc>
        <w:tc>
          <w:tcPr>
            <w:tcW w:w="2200" w:type="dxa"/>
            <w:gridSpan w:val="3"/>
            <w:tcBorders>
              <w:top w:val="single" w:sz="4" w:space="0" w:color="auto"/>
              <w:left w:val="nil"/>
              <w:bottom w:val="single" w:sz="4" w:space="0" w:color="auto"/>
              <w:right w:val="single" w:sz="4" w:space="0" w:color="000000"/>
            </w:tcBorders>
            <w:shd w:val="clear" w:color="000000" w:fill="F2F2F2"/>
            <w:vAlign w:val="center"/>
            <w:hideMark/>
          </w:tcPr>
          <w:p w14:paraId="771CBDB5" w14:textId="77777777" w:rsidR="0018458C" w:rsidRPr="0018458C" w:rsidRDefault="0018458C" w:rsidP="0018458C">
            <w:pPr>
              <w:spacing w:after="0" w:line="240" w:lineRule="auto"/>
              <w:jc w:val="center"/>
              <w:rPr>
                <w:rFonts w:ascii="Times New Roman" w:eastAsia="Times New Roman" w:hAnsi="Times New Roman" w:cs="Times New Roman"/>
                <w:b/>
                <w:bCs/>
                <w:color w:val="000000"/>
                <w:sz w:val="20"/>
                <w:szCs w:val="20"/>
                <w:lang w:eastAsia="hr-HR"/>
              </w:rPr>
            </w:pPr>
            <w:r w:rsidRPr="0018458C">
              <w:rPr>
                <w:rFonts w:ascii="Times New Roman" w:eastAsia="Times New Roman" w:hAnsi="Times New Roman" w:cs="Times New Roman"/>
                <w:b/>
                <w:bCs/>
                <w:color w:val="000000"/>
                <w:sz w:val="20"/>
                <w:szCs w:val="20"/>
                <w:lang w:eastAsia="hr-HR"/>
              </w:rPr>
              <w:t>2022.</w:t>
            </w:r>
          </w:p>
        </w:tc>
      </w:tr>
      <w:tr w:rsidR="0018458C" w:rsidRPr="0018458C" w14:paraId="005DB2E8" w14:textId="77777777" w:rsidTr="0018458C">
        <w:trPr>
          <w:trHeight w:val="36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2BA965A6" w14:textId="77777777" w:rsidR="0018458C" w:rsidRPr="0018458C" w:rsidRDefault="0018458C" w:rsidP="0018458C">
            <w:pPr>
              <w:spacing w:after="0" w:line="240" w:lineRule="auto"/>
              <w:jc w:val="center"/>
              <w:rPr>
                <w:rFonts w:ascii="Times New Roman" w:eastAsia="Times New Roman" w:hAnsi="Times New Roman" w:cs="Times New Roman"/>
                <w:b/>
                <w:bCs/>
                <w:color w:val="000000"/>
                <w:sz w:val="20"/>
                <w:szCs w:val="20"/>
                <w:lang w:eastAsia="hr-HR"/>
              </w:rPr>
            </w:pPr>
            <w:r w:rsidRPr="0018458C">
              <w:rPr>
                <w:rFonts w:ascii="Times New Roman" w:eastAsia="Times New Roman" w:hAnsi="Times New Roman" w:cs="Times New Roman"/>
                <w:b/>
                <w:bCs/>
                <w:color w:val="000000"/>
                <w:sz w:val="20"/>
                <w:szCs w:val="20"/>
                <w:lang w:eastAsia="hr-HR"/>
              </w:rPr>
              <w:t>NADLEŽNO TIJELO</w:t>
            </w:r>
          </w:p>
        </w:tc>
        <w:tc>
          <w:tcPr>
            <w:tcW w:w="620" w:type="dxa"/>
            <w:tcBorders>
              <w:top w:val="nil"/>
              <w:left w:val="nil"/>
              <w:bottom w:val="single" w:sz="4" w:space="0" w:color="auto"/>
              <w:right w:val="single" w:sz="4" w:space="0" w:color="auto"/>
            </w:tcBorders>
            <w:shd w:val="clear" w:color="auto" w:fill="auto"/>
            <w:vAlign w:val="center"/>
            <w:hideMark/>
          </w:tcPr>
          <w:p w14:paraId="1CAD5D96"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PN</w:t>
            </w:r>
          </w:p>
        </w:tc>
        <w:tc>
          <w:tcPr>
            <w:tcW w:w="620" w:type="dxa"/>
            <w:tcBorders>
              <w:top w:val="nil"/>
              <w:left w:val="nil"/>
              <w:bottom w:val="single" w:sz="4" w:space="0" w:color="auto"/>
              <w:right w:val="single" w:sz="4" w:space="0" w:color="auto"/>
            </w:tcBorders>
            <w:shd w:val="clear" w:color="auto" w:fill="auto"/>
            <w:vAlign w:val="center"/>
            <w:hideMark/>
          </w:tcPr>
          <w:p w14:paraId="41EBF385"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FT</w:t>
            </w:r>
          </w:p>
        </w:tc>
        <w:tc>
          <w:tcPr>
            <w:tcW w:w="960" w:type="dxa"/>
            <w:tcBorders>
              <w:top w:val="nil"/>
              <w:left w:val="nil"/>
              <w:bottom w:val="single" w:sz="4" w:space="0" w:color="auto"/>
              <w:right w:val="single" w:sz="4" w:space="0" w:color="auto"/>
            </w:tcBorders>
            <w:shd w:val="clear" w:color="auto" w:fill="auto"/>
            <w:vAlign w:val="center"/>
            <w:hideMark/>
          </w:tcPr>
          <w:p w14:paraId="13EA1FB8"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w:t>
            </w:r>
          </w:p>
        </w:tc>
        <w:tc>
          <w:tcPr>
            <w:tcW w:w="620" w:type="dxa"/>
            <w:tcBorders>
              <w:top w:val="nil"/>
              <w:left w:val="nil"/>
              <w:bottom w:val="single" w:sz="4" w:space="0" w:color="auto"/>
              <w:right w:val="single" w:sz="4" w:space="0" w:color="auto"/>
            </w:tcBorders>
            <w:shd w:val="clear" w:color="auto" w:fill="auto"/>
            <w:vAlign w:val="center"/>
            <w:hideMark/>
          </w:tcPr>
          <w:p w14:paraId="17CF86A0"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PN</w:t>
            </w:r>
          </w:p>
        </w:tc>
        <w:tc>
          <w:tcPr>
            <w:tcW w:w="620" w:type="dxa"/>
            <w:tcBorders>
              <w:top w:val="nil"/>
              <w:left w:val="nil"/>
              <w:bottom w:val="single" w:sz="4" w:space="0" w:color="auto"/>
              <w:right w:val="single" w:sz="4" w:space="0" w:color="auto"/>
            </w:tcBorders>
            <w:shd w:val="clear" w:color="auto" w:fill="auto"/>
            <w:vAlign w:val="center"/>
            <w:hideMark/>
          </w:tcPr>
          <w:p w14:paraId="0F6C651F"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FT</w:t>
            </w:r>
          </w:p>
        </w:tc>
        <w:tc>
          <w:tcPr>
            <w:tcW w:w="960" w:type="dxa"/>
            <w:tcBorders>
              <w:top w:val="nil"/>
              <w:left w:val="nil"/>
              <w:bottom w:val="single" w:sz="4" w:space="0" w:color="auto"/>
              <w:right w:val="single" w:sz="4" w:space="0" w:color="auto"/>
            </w:tcBorders>
            <w:shd w:val="clear" w:color="auto" w:fill="auto"/>
            <w:vAlign w:val="center"/>
            <w:hideMark/>
          </w:tcPr>
          <w:p w14:paraId="4C700431"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w:t>
            </w:r>
          </w:p>
        </w:tc>
      </w:tr>
      <w:tr w:rsidR="0018458C" w:rsidRPr="0018458C" w14:paraId="43A9208F" w14:textId="77777777" w:rsidTr="0018458C">
        <w:trPr>
          <w:trHeight w:val="36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25A51F5C" w14:textId="77777777" w:rsidR="0018458C" w:rsidRPr="0018458C" w:rsidRDefault="0018458C" w:rsidP="0018458C">
            <w:pPr>
              <w:spacing w:after="0" w:line="240" w:lineRule="auto"/>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POLICIJA</w:t>
            </w:r>
          </w:p>
        </w:tc>
        <w:tc>
          <w:tcPr>
            <w:tcW w:w="620" w:type="dxa"/>
            <w:tcBorders>
              <w:top w:val="nil"/>
              <w:left w:val="nil"/>
              <w:bottom w:val="single" w:sz="4" w:space="0" w:color="auto"/>
              <w:right w:val="single" w:sz="4" w:space="0" w:color="auto"/>
            </w:tcBorders>
            <w:shd w:val="clear" w:color="auto" w:fill="auto"/>
            <w:vAlign w:val="center"/>
            <w:hideMark/>
          </w:tcPr>
          <w:p w14:paraId="4AB0E54A"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93</w:t>
            </w:r>
          </w:p>
        </w:tc>
        <w:tc>
          <w:tcPr>
            <w:tcW w:w="620" w:type="dxa"/>
            <w:tcBorders>
              <w:top w:val="nil"/>
              <w:left w:val="nil"/>
              <w:bottom w:val="single" w:sz="4" w:space="0" w:color="auto"/>
              <w:right w:val="single" w:sz="4" w:space="0" w:color="auto"/>
            </w:tcBorders>
            <w:shd w:val="clear" w:color="auto" w:fill="auto"/>
            <w:vAlign w:val="center"/>
            <w:hideMark/>
          </w:tcPr>
          <w:p w14:paraId="7F591A13"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2</w:t>
            </w:r>
          </w:p>
        </w:tc>
        <w:tc>
          <w:tcPr>
            <w:tcW w:w="960" w:type="dxa"/>
            <w:tcBorders>
              <w:top w:val="nil"/>
              <w:left w:val="nil"/>
              <w:bottom w:val="single" w:sz="4" w:space="0" w:color="auto"/>
              <w:right w:val="single" w:sz="4" w:space="0" w:color="auto"/>
            </w:tcBorders>
            <w:shd w:val="clear" w:color="auto" w:fill="auto"/>
            <w:vAlign w:val="center"/>
            <w:hideMark/>
          </w:tcPr>
          <w:p w14:paraId="184A5513" w14:textId="77777777" w:rsidR="0018458C" w:rsidRPr="0018458C" w:rsidRDefault="0018458C" w:rsidP="0018458C">
            <w:pPr>
              <w:spacing w:after="0" w:line="240" w:lineRule="auto"/>
              <w:jc w:val="right"/>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32,31%</w:t>
            </w:r>
          </w:p>
        </w:tc>
        <w:tc>
          <w:tcPr>
            <w:tcW w:w="620" w:type="dxa"/>
            <w:tcBorders>
              <w:top w:val="nil"/>
              <w:left w:val="nil"/>
              <w:bottom w:val="single" w:sz="4" w:space="0" w:color="auto"/>
              <w:right w:val="single" w:sz="4" w:space="0" w:color="auto"/>
            </w:tcBorders>
            <w:shd w:val="clear" w:color="auto" w:fill="auto"/>
            <w:vAlign w:val="center"/>
            <w:hideMark/>
          </w:tcPr>
          <w:p w14:paraId="76AE6B47"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95</w:t>
            </w:r>
          </w:p>
        </w:tc>
        <w:tc>
          <w:tcPr>
            <w:tcW w:w="620" w:type="dxa"/>
            <w:tcBorders>
              <w:top w:val="nil"/>
              <w:left w:val="nil"/>
              <w:bottom w:val="single" w:sz="4" w:space="0" w:color="auto"/>
              <w:right w:val="single" w:sz="4" w:space="0" w:color="auto"/>
            </w:tcBorders>
            <w:shd w:val="clear" w:color="auto" w:fill="auto"/>
            <w:vAlign w:val="center"/>
            <w:hideMark/>
          </w:tcPr>
          <w:p w14:paraId="1C567789"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2</w:t>
            </w:r>
          </w:p>
        </w:tc>
        <w:tc>
          <w:tcPr>
            <w:tcW w:w="960" w:type="dxa"/>
            <w:tcBorders>
              <w:top w:val="nil"/>
              <w:left w:val="nil"/>
              <w:bottom w:val="single" w:sz="4" w:space="0" w:color="auto"/>
              <w:right w:val="single" w:sz="4" w:space="0" w:color="auto"/>
            </w:tcBorders>
            <w:shd w:val="clear" w:color="auto" w:fill="auto"/>
            <w:vAlign w:val="center"/>
            <w:hideMark/>
          </w:tcPr>
          <w:p w14:paraId="3C34763F" w14:textId="77777777" w:rsidR="0018458C" w:rsidRPr="0018458C" w:rsidRDefault="0018458C" w:rsidP="0018458C">
            <w:pPr>
              <w:spacing w:after="0" w:line="240" w:lineRule="auto"/>
              <w:jc w:val="right"/>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38,80%</w:t>
            </w:r>
          </w:p>
        </w:tc>
      </w:tr>
      <w:tr w:rsidR="0018458C" w:rsidRPr="0018458C" w14:paraId="732CE353" w14:textId="77777777" w:rsidTr="0018458C">
        <w:trPr>
          <w:trHeight w:val="36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4A52E757" w14:textId="77777777" w:rsidR="0018458C" w:rsidRPr="0018458C" w:rsidRDefault="0018458C" w:rsidP="0018458C">
            <w:pPr>
              <w:spacing w:after="0" w:line="240" w:lineRule="auto"/>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POREZNA UPRAVA</w:t>
            </w:r>
          </w:p>
        </w:tc>
        <w:tc>
          <w:tcPr>
            <w:tcW w:w="620" w:type="dxa"/>
            <w:tcBorders>
              <w:top w:val="nil"/>
              <w:left w:val="nil"/>
              <w:bottom w:val="single" w:sz="4" w:space="0" w:color="auto"/>
              <w:right w:val="single" w:sz="4" w:space="0" w:color="auto"/>
            </w:tcBorders>
            <w:shd w:val="clear" w:color="auto" w:fill="auto"/>
            <w:vAlign w:val="center"/>
            <w:hideMark/>
          </w:tcPr>
          <w:p w14:paraId="6981C2D4"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73</w:t>
            </w:r>
          </w:p>
        </w:tc>
        <w:tc>
          <w:tcPr>
            <w:tcW w:w="620" w:type="dxa"/>
            <w:tcBorders>
              <w:top w:val="nil"/>
              <w:left w:val="nil"/>
              <w:bottom w:val="single" w:sz="4" w:space="0" w:color="auto"/>
              <w:right w:val="single" w:sz="4" w:space="0" w:color="auto"/>
            </w:tcBorders>
            <w:shd w:val="clear" w:color="auto" w:fill="auto"/>
            <w:vAlign w:val="center"/>
            <w:hideMark/>
          </w:tcPr>
          <w:p w14:paraId="321C3122"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0</w:t>
            </w:r>
          </w:p>
        </w:tc>
        <w:tc>
          <w:tcPr>
            <w:tcW w:w="960" w:type="dxa"/>
            <w:tcBorders>
              <w:top w:val="nil"/>
              <w:left w:val="nil"/>
              <w:bottom w:val="single" w:sz="4" w:space="0" w:color="auto"/>
              <w:right w:val="single" w:sz="4" w:space="0" w:color="auto"/>
            </w:tcBorders>
            <w:shd w:val="clear" w:color="auto" w:fill="auto"/>
            <w:vAlign w:val="center"/>
            <w:hideMark/>
          </w:tcPr>
          <w:p w14:paraId="7E95B153" w14:textId="77777777" w:rsidR="0018458C" w:rsidRPr="0018458C" w:rsidRDefault="0018458C" w:rsidP="0018458C">
            <w:pPr>
              <w:spacing w:after="0" w:line="240" w:lineRule="auto"/>
              <w:jc w:val="right"/>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24,83%</w:t>
            </w:r>
          </w:p>
        </w:tc>
        <w:tc>
          <w:tcPr>
            <w:tcW w:w="620" w:type="dxa"/>
            <w:tcBorders>
              <w:top w:val="nil"/>
              <w:left w:val="nil"/>
              <w:bottom w:val="single" w:sz="4" w:space="0" w:color="auto"/>
              <w:right w:val="single" w:sz="4" w:space="0" w:color="auto"/>
            </w:tcBorders>
            <w:shd w:val="clear" w:color="auto" w:fill="auto"/>
            <w:vAlign w:val="center"/>
            <w:hideMark/>
          </w:tcPr>
          <w:p w14:paraId="4FC0C466"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42</w:t>
            </w:r>
          </w:p>
        </w:tc>
        <w:tc>
          <w:tcPr>
            <w:tcW w:w="620" w:type="dxa"/>
            <w:tcBorders>
              <w:top w:val="nil"/>
              <w:left w:val="nil"/>
              <w:bottom w:val="single" w:sz="4" w:space="0" w:color="auto"/>
              <w:right w:val="single" w:sz="4" w:space="0" w:color="auto"/>
            </w:tcBorders>
            <w:shd w:val="clear" w:color="auto" w:fill="auto"/>
            <w:vAlign w:val="center"/>
            <w:hideMark/>
          </w:tcPr>
          <w:p w14:paraId="313B51A6"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0</w:t>
            </w:r>
          </w:p>
        </w:tc>
        <w:tc>
          <w:tcPr>
            <w:tcW w:w="960" w:type="dxa"/>
            <w:tcBorders>
              <w:top w:val="nil"/>
              <w:left w:val="nil"/>
              <w:bottom w:val="single" w:sz="4" w:space="0" w:color="auto"/>
              <w:right w:val="single" w:sz="4" w:space="0" w:color="auto"/>
            </w:tcBorders>
            <w:shd w:val="clear" w:color="auto" w:fill="auto"/>
            <w:vAlign w:val="center"/>
            <w:hideMark/>
          </w:tcPr>
          <w:p w14:paraId="4BB829EA" w14:textId="77777777" w:rsidR="0018458C" w:rsidRPr="0018458C" w:rsidRDefault="0018458C" w:rsidP="0018458C">
            <w:pPr>
              <w:spacing w:after="0" w:line="240" w:lineRule="auto"/>
              <w:jc w:val="right"/>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16,80%</w:t>
            </w:r>
          </w:p>
        </w:tc>
      </w:tr>
      <w:tr w:rsidR="0018458C" w:rsidRPr="0018458C" w14:paraId="6DD8C7D7" w14:textId="77777777" w:rsidTr="0018458C">
        <w:trPr>
          <w:trHeight w:val="36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1C19E7E2" w14:textId="77777777" w:rsidR="0018458C" w:rsidRPr="0018458C" w:rsidRDefault="0018458C" w:rsidP="0018458C">
            <w:pPr>
              <w:spacing w:after="0" w:line="240" w:lineRule="auto"/>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 xml:space="preserve">NADLEŽNA DRŽAVNA ODVJETNIŠTVA </w:t>
            </w:r>
          </w:p>
        </w:tc>
        <w:tc>
          <w:tcPr>
            <w:tcW w:w="620" w:type="dxa"/>
            <w:tcBorders>
              <w:top w:val="nil"/>
              <w:left w:val="nil"/>
              <w:bottom w:val="single" w:sz="4" w:space="0" w:color="auto"/>
              <w:right w:val="single" w:sz="4" w:space="0" w:color="auto"/>
            </w:tcBorders>
            <w:shd w:val="clear" w:color="auto" w:fill="auto"/>
            <w:vAlign w:val="center"/>
            <w:hideMark/>
          </w:tcPr>
          <w:p w14:paraId="28E17EFA"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67</w:t>
            </w:r>
          </w:p>
        </w:tc>
        <w:tc>
          <w:tcPr>
            <w:tcW w:w="620" w:type="dxa"/>
            <w:tcBorders>
              <w:top w:val="nil"/>
              <w:left w:val="nil"/>
              <w:bottom w:val="single" w:sz="4" w:space="0" w:color="auto"/>
              <w:right w:val="single" w:sz="4" w:space="0" w:color="auto"/>
            </w:tcBorders>
            <w:shd w:val="clear" w:color="auto" w:fill="auto"/>
            <w:vAlign w:val="center"/>
            <w:hideMark/>
          </w:tcPr>
          <w:p w14:paraId="6DD1074C"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0</w:t>
            </w:r>
          </w:p>
        </w:tc>
        <w:tc>
          <w:tcPr>
            <w:tcW w:w="960" w:type="dxa"/>
            <w:tcBorders>
              <w:top w:val="nil"/>
              <w:left w:val="nil"/>
              <w:bottom w:val="single" w:sz="4" w:space="0" w:color="auto"/>
              <w:right w:val="single" w:sz="4" w:space="0" w:color="auto"/>
            </w:tcBorders>
            <w:shd w:val="clear" w:color="auto" w:fill="auto"/>
            <w:vAlign w:val="center"/>
            <w:hideMark/>
          </w:tcPr>
          <w:p w14:paraId="0711DD95" w14:textId="77777777" w:rsidR="0018458C" w:rsidRPr="0018458C" w:rsidRDefault="0018458C" w:rsidP="0018458C">
            <w:pPr>
              <w:spacing w:after="0" w:line="240" w:lineRule="auto"/>
              <w:jc w:val="right"/>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22,79%</w:t>
            </w:r>
          </w:p>
        </w:tc>
        <w:tc>
          <w:tcPr>
            <w:tcW w:w="620" w:type="dxa"/>
            <w:tcBorders>
              <w:top w:val="nil"/>
              <w:left w:val="nil"/>
              <w:bottom w:val="single" w:sz="4" w:space="0" w:color="auto"/>
              <w:right w:val="single" w:sz="4" w:space="0" w:color="auto"/>
            </w:tcBorders>
            <w:shd w:val="clear" w:color="auto" w:fill="auto"/>
            <w:vAlign w:val="center"/>
            <w:hideMark/>
          </w:tcPr>
          <w:p w14:paraId="536E510E"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62</w:t>
            </w:r>
          </w:p>
        </w:tc>
        <w:tc>
          <w:tcPr>
            <w:tcW w:w="620" w:type="dxa"/>
            <w:tcBorders>
              <w:top w:val="nil"/>
              <w:left w:val="nil"/>
              <w:bottom w:val="single" w:sz="4" w:space="0" w:color="auto"/>
              <w:right w:val="single" w:sz="4" w:space="0" w:color="auto"/>
            </w:tcBorders>
            <w:shd w:val="clear" w:color="auto" w:fill="auto"/>
            <w:vAlign w:val="center"/>
            <w:hideMark/>
          </w:tcPr>
          <w:p w14:paraId="4A285B34"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0</w:t>
            </w:r>
          </w:p>
        </w:tc>
        <w:tc>
          <w:tcPr>
            <w:tcW w:w="960" w:type="dxa"/>
            <w:tcBorders>
              <w:top w:val="nil"/>
              <w:left w:val="nil"/>
              <w:bottom w:val="single" w:sz="4" w:space="0" w:color="auto"/>
              <w:right w:val="single" w:sz="4" w:space="0" w:color="auto"/>
            </w:tcBorders>
            <w:shd w:val="clear" w:color="auto" w:fill="auto"/>
            <w:vAlign w:val="center"/>
            <w:hideMark/>
          </w:tcPr>
          <w:p w14:paraId="093FC0EC" w14:textId="77777777" w:rsidR="0018458C" w:rsidRPr="0018458C" w:rsidRDefault="0018458C" w:rsidP="0018458C">
            <w:pPr>
              <w:spacing w:after="0" w:line="240" w:lineRule="auto"/>
              <w:jc w:val="right"/>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24,80%</w:t>
            </w:r>
          </w:p>
        </w:tc>
      </w:tr>
      <w:tr w:rsidR="0018458C" w:rsidRPr="0018458C" w14:paraId="4F6A72CF" w14:textId="77777777" w:rsidTr="0018458C">
        <w:trPr>
          <w:trHeight w:val="36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30778675" w14:textId="77777777" w:rsidR="0018458C" w:rsidRPr="0018458C" w:rsidRDefault="0018458C" w:rsidP="0018458C">
            <w:pPr>
              <w:spacing w:after="0" w:line="240" w:lineRule="auto"/>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USKOK</w:t>
            </w:r>
          </w:p>
        </w:tc>
        <w:tc>
          <w:tcPr>
            <w:tcW w:w="620" w:type="dxa"/>
            <w:tcBorders>
              <w:top w:val="nil"/>
              <w:left w:val="nil"/>
              <w:bottom w:val="single" w:sz="4" w:space="0" w:color="auto"/>
              <w:right w:val="single" w:sz="4" w:space="0" w:color="auto"/>
            </w:tcBorders>
            <w:shd w:val="clear" w:color="auto" w:fill="auto"/>
            <w:vAlign w:val="center"/>
            <w:hideMark/>
          </w:tcPr>
          <w:p w14:paraId="746DFA03"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31</w:t>
            </w:r>
          </w:p>
        </w:tc>
        <w:tc>
          <w:tcPr>
            <w:tcW w:w="620" w:type="dxa"/>
            <w:tcBorders>
              <w:top w:val="nil"/>
              <w:left w:val="nil"/>
              <w:bottom w:val="single" w:sz="4" w:space="0" w:color="auto"/>
              <w:right w:val="single" w:sz="4" w:space="0" w:color="auto"/>
            </w:tcBorders>
            <w:shd w:val="clear" w:color="auto" w:fill="auto"/>
            <w:vAlign w:val="center"/>
            <w:hideMark/>
          </w:tcPr>
          <w:p w14:paraId="3A1D382E"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0</w:t>
            </w:r>
          </w:p>
        </w:tc>
        <w:tc>
          <w:tcPr>
            <w:tcW w:w="960" w:type="dxa"/>
            <w:tcBorders>
              <w:top w:val="nil"/>
              <w:left w:val="nil"/>
              <w:bottom w:val="single" w:sz="4" w:space="0" w:color="auto"/>
              <w:right w:val="single" w:sz="4" w:space="0" w:color="auto"/>
            </w:tcBorders>
            <w:shd w:val="clear" w:color="auto" w:fill="auto"/>
            <w:vAlign w:val="center"/>
            <w:hideMark/>
          </w:tcPr>
          <w:p w14:paraId="0E01168E" w14:textId="77777777" w:rsidR="0018458C" w:rsidRPr="0018458C" w:rsidRDefault="0018458C" w:rsidP="0018458C">
            <w:pPr>
              <w:spacing w:after="0" w:line="240" w:lineRule="auto"/>
              <w:jc w:val="right"/>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10,54%</w:t>
            </w:r>
          </w:p>
        </w:tc>
        <w:tc>
          <w:tcPr>
            <w:tcW w:w="620" w:type="dxa"/>
            <w:tcBorders>
              <w:top w:val="nil"/>
              <w:left w:val="nil"/>
              <w:bottom w:val="single" w:sz="4" w:space="0" w:color="auto"/>
              <w:right w:val="single" w:sz="4" w:space="0" w:color="auto"/>
            </w:tcBorders>
            <w:shd w:val="clear" w:color="auto" w:fill="auto"/>
            <w:vAlign w:val="center"/>
            <w:hideMark/>
          </w:tcPr>
          <w:p w14:paraId="5ACAF0E5"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30</w:t>
            </w:r>
          </w:p>
        </w:tc>
        <w:tc>
          <w:tcPr>
            <w:tcW w:w="620" w:type="dxa"/>
            <w:tcBorders>
              <w:top w:val="nil"/>
              <w:left w:val="nil"/>
              <w:bottom w:val="single" w:sz="4" w:space="0" w:color="auto"/>
              <w:right w:val="single" w:sz="4" w:space="0" w:color="auto"/>
            </w:tcBorders>
            <w:shd w:val="clear" w:color="auto" w:fill="auto"/>
            <w:vAlign w:val="center"/>
            <w:hideMark/>
          </w:tcPr>
          <w:p w14:paraId="36885A95"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0</w:t>
            </w:r>
          </w:p>
        </w:tc>
        <w:tc>
          <w:tcPr>
            <w:tcW w:w="960" w:type="dxa"/>
            <w:tcBorders>
              <w:top w:val="nil"/>
              <w:left w:val="nil"/>
              <w:bottom w:val="single" w:sz="4" w:space="0" w:color="auto"/>
              <w:right w:val="single" w:sz="4" w:space="0" w:color="auto"/>
            </w:tcBorders>
            <w:shd w:val="clear" w:color="auto" w:fill="auto"/>
            <w:vAlign w:val="center"/>
            <w:hideMark/>
          </w:tcPr>
          <w:p w14:paraId="2807D45B" w14:textId="77777777" w:rsidR="0018458C" w:rsidRPr="0018458C" w:rsidRDefault="0018458C" w:rsidP="0018458C">
            <w:pPr>
              <w:spacing w:after="0" w:line="240" w:lineRule="auto"/>
              <w:jc w:val="right"/>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12,00%</w:t>
            </w:r>
          </w:p>
        </w:tc>
      </w:tr>
      <w:tr w:rsidR="0018458C" w:rsidRPr="0018458C" w14:paraId="028802F5" w14:textId="77777777" w:rsidTr="0018458C">
        <w:trPr>
          <w:trHeight w:val="36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41C3618A" w14:textId="77777777" w:rsidR="0018458C" w:rsidRPr="0018458C" w:rsidRDefault="0018458C" w:rsidP="0018458C">
            <w:pPr>
              <w:spacing w:after="0" w:line="240" w:lineRule="auto"/>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SIGURNOSNO OBAVJEŠTAJNA AGENCIJA</w:t>
            </w:r>
          </w:p>
        </w:tc>
        <w:tc>
          <w:tcPr>
            <w:tcW w:w="620" w:type="dxa"/>
            <w:tcBorders>
              <w:top w:val="nil"/>
              <w:left w:val="nil"/>
              <w:bottom w:val="single" w:sz="4" w:space="0" w:color="auto"/>
              <w:right w:val="single" w:sz="4" w:space="0" w:color="auto"/>
            </w:tcBorders>
            <w:shd w:val="clear" w:color="auto" w:fill="auto"/>
            <w:vAlign w:val="center"/>
            <w:hideMark/>
          </w:tcPr>
          <w:p w14:paraId="7F81CC03"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15</w:t>
            </w:r>
          </w:p>
        </w:tc>
        <w:tc>
          <w:tcPr>
            <w:tcW w:w="620" w:type="dxa"/>
            <w:tcBorders>
              <w:top w:val="nil"/>
              <w:left w:val="nil"/>
              <w:bottom w:val="single" w:sz="4" w:space="0" w:color="auto"/>
              <w:right w:val="single" w:sz="4" w:space="0" w:color="auto"/>
            </w:tcBorders>
            <w:shd w:val="clear" w:color="auto" w:fill="auto"/>
            <w:vAlign w:val="center"/>
            <w:hideMark/>
          </w:tcPr>
          <w:p w14:paraId="317C89F9"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5</w:t>
            </w:r>
          </w:p>
        </w:tc>
        <w:tc>
          <w:tcPr>
            <w:tcW w:w="960" w:type="dxa"/>
            <w:tcBorders>
              <w:top w:val="nil"/>
              <w:left w:val="nil"/>
              <w:bottom w:val="single" w:sz="4" w:space="0" w:color="auto"/>
              <w:right w:val="single" w:sz="4" w:space="0" w:color="auto"/>
            </w:tcBorders>
            <w:shd w:val="clear" w:color="auto" w:fill="auto"/>
            <w:vAlign w:val="center"/>
            <w:hideMark/>
          </w:tcPr>
          <w:p w14:paraId="11C5EB1A" w14:textId="77777777" w:rsidR="0018458C" w:rsidRPr="0018458C" w:rsidRDefault="0018458C" w:rsidP="0018458C">
            <w:pPr>
              <w:spacing w:after="0" w:line="240" w:lineRule="auto"/>
              <w:jc w:val="right"/>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6,80%</w:t>
            </w:r>
          </w:p>
        </w:tc>
        <w:tc>
          <w:tcPr>
            <w:tcW w:w="620" w:type="dxa"/>
            <w:tcBorders>
              <w:top w:val="nil"/>
              <w:left w:val="nil"/>
              <w:bottom w:val="single" w:sz="4" w:space="0" w:color="auto"/>
              <w:right w:val="single" w:sz="4" w:space="0" w:color="auto"/>
            </w:tcBorders>
            <w:shd w:val="clear" w:color="auto" w:fill="auto"/>
            <w:vAlign w:val="center"/>
            <w:hideMark/>
          </w:tcPr>
          <w:p w14:paraId="70D90F85"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13</w:t>
            </w:r>
          </w:p>
        </w:tc>
        <w:tc>
          <w:tcPr>
            <w:tcW w:w="620" w:type="dxa"/>
            <w:tcBorders>
              <w:top w:val="nil"/>
              <w:left w:val="nil"/>
              <w:bottom w:val="single" w:sz="4" w:space="0" w:color="auto"/>
              <w:right w:val="single" w:sz="4" w:space="0" w:color="auto"/>
            </w:tcBorders>
            <w:shd w:val="clear" w:color="auto" w:fill="auto"/>
            <w:vAlign w:val="center"/>
            <w:hideMark/>
          </w:tcPr>
          <w:p w14:paraId="523561AB"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4</w:t>
            </w:r>
          </w:p>
        </w:tc>
        <w:tc>
          <w:tcPr>
            <w:tcW w:w="960" w:type="dxa"/>
            <w:tcBorders>
              <w:top w:val="nil"/>
              <w:left w:val="nil"/>
              <w:bottom w:val="single" w:sz="4" w:space="0" w:color="auto"/>
              <w:right w:val="single" w:sz="4" w:space="0" w:color="auto"/>
            </w:tcBorders>
            <w:shd w:val="clear" w:color="auto" w:fill="auto"/>
            <w:vAlign w:val="center"/>
            <w:hideMark/>
          </w:tcPr>
          <w:p w14:paraId="64F0BCCD" w14:textId="77777777" w:rsidR="0018458C" w:rsidRPr="0018458C" w:rsidRDefault="0018458C" w:rsidP="0018458C">
            <w:pPr>
              <w:spacing w:after="0" w:line="240" w:lineRule="auto"/>
              <w:jc w:val="right"/>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6,80%</w:t>
            </w:r>
          </w:p>
        </w:tc>
      </w:tr>
      <w:tr w:rsidR="0018458C" w:rsidRPr="0018458C" w14:paraId="5B85F7CE" w14:textId="77777777" w:rsidTr="0018458C">
        <w:trPr>
          <w:trHeight w:val="36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36E6157F" w14:textId="77777777" w:rsidR="0018458C" w:rsidRPr="0018458C" w:rsidRDefault="0018458C" w:rsidP="0018458C">
            <w:pPr>
              <w:spacing w:after="0" w:line="240" w:lineRule="auto"/>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FINANCIJSKI INSPEKTORAT</w:t>
            </w:r>
          </w:p>
        </w:tc>
        <w:tc>
          <w:tcPr>
            <w:tcW w:w="620" w:type="dxa"/>
            <w:tcBorders>
              <w:top w:val="nil"/>
              <w:left w:val="nil"/>
              <w:bottom w:val="single" w:sz="4" w:space="0" w:color="auto"/>
              <w:right w:val="single" w:sz="4" w:space="0" w:color="auto"/>
            </w:tcBorders>
            <w:shd w:val="clear" w:color="auto" w:fill="auto"/>
            <w:vAlign w:val="center"/>
            <w:hideMark/>
          </w:tcPr>
          <w:p w14:paraId="33D36E39"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4</w:t>
            </w:r>
          </w:p>
        </w:tc>
        <w:tc>
          <w:tcPr>
            <w:tcW w:w="620" w:type="dxa"/>
            <w:tcBorders>
              <w:top w:val="nil"/>
              <w:left w:val="nil"/>
              <w:bottom w:val="single" w:sz="4" w:space="0" w:color="auto"/>
              <w:right w:val="single" w:sz="4" w:space="0" w:color="auto"/>
            </w:tcBorders>
            <w:shd w:val="clear" w:color="auto" w:fill="auto"/>
            <w:vAlign w:val="center"/>
            <w:hideMark/>
          </w:tcPr>
          <w:p w14:paraId="51385D51"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0</w:t>
            </w:r>
          </w:p>
        </w:tc>
        <w:tc>
          <w:tcPr>
            <w:tcW w:w="960" w:type="dxa"/>
            <w:tcBorders>
              <w:top w:val="nil"/>
              <w:left w:val="nil"/>
              <w:bottom w:val="single" w:sz="4" w:space="0" w:color="auto"/>
              <w:right w:val="single" w:sz="4" w:space="0" w:color="auto"/>
            </w:tcBorders>
            <w:shd w:val="clear" w:color="auto" w:fill="auto"/>
            <w:vAlign w:val="center"/>
            <w:hideMark/>
          </w:tcPr>
          <w:p w14:paraId="7A60D9BE" w14:textId="77777777" w:rsidR="0018458C" w:rsidRPr="0018458C" w:rsidRDefault="0018458C" w:rsidP="0018458C">
            <w:pPr>
              <w:spacing w:after="0" w:line="240" w:lineRule="auto"/>
              <w:jc w:val="right"/>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1,36%</w:t>
            </w:r>
          </w:p>
        </w:tc>
        <w:tc>
          <w:tcPr>
            <w:tcW w:w="620" w:type="dxa"/>
            <w:tcBorders>
              <w:top w:val="nil"/>
              <w:left w:val="nil"/>
              <w:bottom w:val="single" w:sz="4" w:space="0" w:color="auto"/>
              <w:right w:val="single" w:sz="4" w:space="0" w:color="auto"/>
            </w:tcBorders>
            <w:shd w:val="clear" w:color="auto" w:fill="auto"/>
            <w:vAlign w:val="center"/>
            <w:hideMark/>
          </w:tcPr>
          <w:p w14:paraId="708E4EBF"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0</w:t>
            </w:r>
          </w:p>
        </w:tc>
        <w:tc>
          <w:tcPr>
            <w:tcW w:w="620" w:type="dxa"/>
            <w:tcBorders>
              <w:top w:val="nil"/>
              <w:left w:val="nil"/>
              <w:bottom w:val="single" w:sz="4" w:space="0" w:color="auto"/>
              <w:right w:val="single" w:sz="4" w:space="0" w:color="auto"/>
            </w:tcBorders>
            <w:shd w:val="clear" w:color="auto" w:fill="auto"/>
            <w:vAlign w:val="center"/>
            <w:hideMark/>
          </w:tcPr>
          <w:p w14:paraId="1E6FF7FD"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0</w:t>
            </w:r>
          </w:p>
        </w:tc>
        <w:tc>
          <w:tcPr>
            <w:tcW w:w="960" w:type="dxa"/>
            <w:tcBorders>
              <w:top w:val="nil"/>
              <w:left w:val="nil"/>
              <w:bottom w:val="single" w:sz="4" w:space="0" w:color="auto"/>
              <w:right w:val="single" w:sz="4" w:space="0" w:color="auto"/>
            </w:tcBorders>
            <w:shd w:val="clear" w:color="auto" w:fill="auto"/>
            <w:vAlign w:val="center"/>
            <w:hideMark/>
          </w:tcPr>
          <w:p w14:paraId="48896F77" w14:textId="77777777" w:rsidR="0018458C" w:rsidRPr="0018458C" w:rsidRDefault="0018458C" w:rsidP="0018458C">
            <w:pPr>
              <w:spacing w:after="0" w:line="240" w:lineRule="auto"/>
              <w:jc w:val="right"/>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0,00%</w:t>
            </w:r>
          </w:p>
        </w:tc>
      </w:tr>
      <w:tr w:rsidR="0018458C" w:rsidRPr="0018458C" w14:paraId="602075B1" w14:textId="77777777" w:rsidTr="0018458C">
        <w:trPr>
          <w:trHeight w:val="552"/>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3D806FEE" w14:textId="77777777" w:rsidR="0018458C" w:rsidRPr="0018458C" w:rsidRDefault="0018458C" w:rsidP="0018458C">
            <w:pPr>
              <w:spacing w:after="0" w:line="240" w:lineRule="auto"/>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URED DELEGIRANOG EUROPSKOG TUŽITELJA U RH</w:t>
            </w:r>
          </w:p>
        </w:tc>
        <w:tc>
          <w:tcPr>
            <w:tcW w:w="620" w:type="dxa"/>
            <w:tcBorders>
              <w:top w:val="nil"/>
              <w:left w:val="nil"/>
              <w:bottom w:val="single" w:sz="4" w:space="0" w:color="auto"/>
              <w:right w:val="single" w:sz="4" w:space="0" w:color="auto"/>
            </w:tcBorders>
            <w:shd w:val="clear" w:color="auto" w:fill="auto"/>
            <w:vAlign w:val="center"/>
            <w:hideMark/>
          </w:tcPr>
          <w:p w14:paraId="0352CBFD"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3</w:t>
            </w:r>
          </w:p>
        </w:tc>
        <w:tc>
          <w:tcPr>
            <w:tcW w:w="620" w:type="dxa"/>
            <w:tcBorders>
              <w:top w:val="nil"/>
              <w:left w:val="nil"/>
              <w:bottom w:val="single" w:sz="4" w:space="0" w:color="auto"/>
              <w:right w:val="single" w:sz="4" w:space="0" w:color="auto"/>
            </w:tcBorders>
            <w:shd w:val="clear" w:color="auto" w:fill="auto"/>
            <w:vAlign w:val="center"/>
            <w:hideMark/>
          </w:tcPr>
          <w:p w14:paraId="1A686A2D"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0</w:t>
            </w:r>
          </w:p>
        </w:tc>
        <w:tc>
          <w:tcPr>
            <w:tcW w:w="960" w:type="dxa"/>
            <w:tcBorders>
              <w:top w:val="nil"/>
              <w:left w:val="nil"/>
              <w:bottom w:val="single" w:sz="4" w:space="0" w:color="auto"/>
              <w:right w:val="single" w:sz="4" w:space="0" w:color="auto"/>
            </w:tcBorders>
            <w:shd w:val="clear" w:color="auto" w:fill="auto"/>
            <w:vAlign w:val="center"/>
            <w:hideMark/>
          </w:tcPr>
          <w:p w14:paraId="32BDFBD8" w14:textId="77777777" w:rsidR="0018458C" w:rsidRPr="0018458C" w:rsidRDefault="0018458C" w:rsidP="0018458C">
            <w:pPr>
              <w:spacing w:after="0" w:line="240" w:lineRule="auto"/>
              <w:jc w:val="right"/>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1,02%</w:t>
            </w:r>
          </w:p>
        </w:tc>
        <w:tc>
          <w:tcPr>
            <w:tcW w:w="620" w:type="dxa"/>
            <w:tcBorders>
              <w:top w:val="nil"/>
              <w:left w:val="nil"/>
              <w:bottom w:val="single" w:sz="4" w:space="0" w:color="auto"/>
              <w:right w:val="single" w:sz="4" w:space="0" w:color="auto"/>
            </w:tcBorders>
            <w:shd w:val="clear" w:color="auto" w:fill="auto"/>
            <w:vAlign w:val="center"/>
            <w:hideMark/>
          </w:tcPr>
          <w:p w14:paraId="3D73607D"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2</w:t>
            </w:r>
          </w:p>
        </w:tc>
        <w:tc>
          <w:tcPr>
            <w:tcW w:w="620" w:type="dxa"/>
            <w:tcBorders>
              <w:top w:val="nil"/>
              <w:left w:val="nil"/>
              <w:bottom w:val="single" w:sz="4" w:space="0" w:color="auto"/>
              <w:right w:val="single" w:sz="4" w:space="0" w:color="auto"/>
            </w:tcBorders>
            <w:shd w:val="clear" w:color="auto" w:fill="auto"/>
            <w:vAlign w:val="center"/>
            <w:hideMark/>
          </w:tcPr>
          <w:p w14:paraId="0E497F25"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0</w:t>
            </w:r>
          </w:p>
        </w:tc>
        <w:tc>
          <w:tcPr>
            <w:tcW w:w="960" w:type="dxa"/>
            <w:tcBorders>
              <w:top w:val="nil"/>
              <w:left w:val="nil"/>
              <w:bottom w:val="single" w:sz="4" w:space="0" w:color="auto"/>
              <w:right w:val="single" w:sz="4" w:space="0" w:color="auto"/>
            </w:tcBorders>
            <w:shd w:val="clear" w:color="auto" w:fill="auto"/>
            <w:vAlign w:val="center"/>
            <w:hideMark/>
          </w:tcPr>
          <w:p w14:paraId="349F58DA" w14:textId="77777777" w:rsidR="0018458C" w:rsidRPr="0018458C" w:rsidRDefault="0018458C" w:rsidP="0018458C">
            <w:pPr>
              <w:spacing w:after="0" w:line="240" w:lineRule="auto"/>
              <w:jc w:val="right"/>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0,80%</w:t>
            </w:r>
          </w:p>
        </w:tc>
      </w:tr>
      <w:tr w:rsidR="0018458C" w:rsidRPr="0018458C" w14:paraId="078A070D" w14:textId="77777777" w:rsidTr="0018458C">
        <w:trPr>
          <w:trHeight w:val="36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584FE09D" w14:textId="77777777" w:rsidR="0018458C" w:rsidRPr="0018458C" w:rsidRDefault="0018458C" w:rsidP="0018458C">
            <w:pPr>
              <w:spacing w:after="0" w:line="240" w:lineRule="auto"/>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 xml:space="preserve">CARINSKA UPRAVA </w:t>
            </w:r>
          </w:p>
        </w:tc>
        <w:tc>
          <w:tcPr>
            <w:tcW w:w="620" w:type="dxa"/>
            <w:tcBorders>
              <w:top w:val="nil"/>
              <w:left w:val="nil"/>
              <w:bottom w:val="single" w:sz="4" w:space="0" w:color="auto"/>
              <w:right w:val="single" w:sz="4" w:space="0" w:color="auto"/>
            </w:tcBorders>
            <w:shd w:val="clear" w:color="auto" w:fill="auto"/>
            <w:vAlign w:val="center"/>
            <w:hideMark/>
          </w:tcPr>
          <w:p w14:paraId="0B68D4A9"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1</w:t>
            </w:r>
          </w:p>
        </w:tc>
        <w:tc>
          <w:tcPr>
            <w:tcW w:w="620" w:type="dxa"/>
            <w:tcBorders>
              <w:top w:val="nil"/>
              <w:left w:val="nil"/>
              <w:bottom w:val="single" w:sz="4" w:space="0" w:color="auto"/>
              <w:right w:val="single" w:sz="4" w:space="0" w:color="auto"/>
            </w:tcBorders>
            <w:shd w:val="clear" w:color="auto" w:fill="auto"/>
            <w:vAlign w:val="center"/>
            <w:hideMark/>
          </w:tcPr>
          <w:p w14:paraId="4FB300E7"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0</w:t>
            </w:r>
          </w:p>
        </w:tc>
        <w:tc>
          <w:tcPr>
            <w:tcW w:w="960" w:type="dxa"/>
            <w:tcBorders>
              <w:top w:val="nil"/>
              <w:left w:val="nil"/>
              <w:bottom w:val="single" w:sz="4" w:space="0" w:color="auto"/>
              <w:right w:val="single" w:sz="4" w:space="0" w:color="auto"/>
            </w:tcBorders>
            <w:shd w:val="clear" w:color="auto" w:fill="auto"/>
            <w:vAlign w:val="center"/>
            <w:hideMark/>
          </w:tcPr>
          <w:p w14:paraId="21368FE3" w14:textId="77777777" w:rsidR="0018458C" w:rsidRPr="0018458C" w:rsidRDefault="0018458C" w:rsidP="0018458C">
            <w:pPr>
              <w:spacing w:after="0" w:line="240" w:lineRule="auto"/>
              <w:jc w:val="right"/>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0,34%</w:t>
            </w:r>
          </w:p>
        </w:tc>
        <w:tc>
          <w:tcPr>
            <w:tcW w:w="620" w:type="dxa"/>
            <w:tcBorders>
              <w:top w:val="nil"/>
              <w:left w:val="nil"/>
              <w:bottom w:val="single" w:sz="4" w:space="0" w:color="auto"/>
              <w:right w:val="single" w:sz="4" w:space="0" w:color="auto"/>
            </w:tcBorders>
            <w:shd w:val="clear" w:color="auto" w:fill="auto"/>
            <w:vAlign w:val="center"/>
            <w:hideMark/>
          </w:tcPr>
          <w:p w14:paraId="453AB581"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0</w:t>
            </w:r>
          </w:p>
        </w:tc>
        <w:tc>
          <w:tcPr>
            <w:tcW w:w="620" w:type="dxa"/>
            <w:tcBorders>
              <w:top w:val="nil"/>
              <w:left w:val="nil"/>
              <w:bottom w:val="single" w:sz="4" w:space="0" w:color="auto"/>
              <w:right w:val="single" w:sz="4" w:space="0" w:color="auto"/>
            </w:tcBorders>
            <w:shd w:val="clear" w:color="auto" w:fill="auto"/>
            <w:vAlign w:val="center"/>
            <w:hideMark/>
          </w:tcPr>
          <w:p w14:paraId="7851FEFC"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0</w:t>
            </w:r>
          </w:p>
        </w:tc>
        <w:tc>
          <w:tcPr>
            <w:tcW w:w="960" w:type="dxa"/>
            <w:tcBorders>
              <w:top w:val="nil"/>
              <w:left w:val="nil"/>
              <w:bottom w:val="single" w:sz="4" w:space="0" w:color="auto"/>
              <w:right w:val="single" w:sz="4" w:space="0" w:color="auto"/>
            </w:tcBorders>
            <w:shd w:val="clear" w:color="auto" w:fill="auto"/>
            <w:vAlign w:val="center"/>
            <w:hideMark/>
          </w:tcPr>
          <w:p w14:paraId="7CB003AD" w14:textId="77777777" w:rsidR="0018458C" w:rsidRPr="0018458C" w:rsidRDefault="0018458C" w:rsidP="0018458C">
            <w:pPr>
              <w:spacing w:after="0" w:line="240" w:lineRule="auto"/>
              <w:jc w:val="right"/>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0,00%</w:t>
            </w:r>
          </w:p>
        </w:tc>
      </w:tr>
      <w:tr w:rsidR="0018458C" w:rsidRPr="0018458C" w14:paraId="345ADD70" w14:textId="77777777" w:rsidTr="0018458C">
        <w:trPr>
          <w:trHeight w:val="360"/>
        </w:trPr>
        <w:tc>
          <w:tcPr>
            <w:tcW w:w="4000" w:type="dxa"/>
            <w:tcBorders>
              <w:top w:val="nil"/>
              <w:left w:val="single" w:sz="4" w:space="0" w:color="auto"/>
              <w:bottom w:val="single" w:sz="4" w:space="0" w:color="auto"/>
              <w:right w:val="single" w:sz="4" w:space="0" w:color="auto"/>
            </w:tcBorders>
            <w:shd w:val="clear" w:color="000000" w:fill="F2F2F2"/>
            <w:vAlign w:val="center"/>
            <w:hideMark/>
          </w:tcPr>
          <w:p w14:paraId="553D334C" w14:textId="77777777" w:rsidR="0018458C" w:rsidRPr="0018458C" w:rsidRDefault="0018458C" w:rsidP="0018458C">
            <w:pPr>
              <w:spacing w:after="0" w:line="240" w:lineRule="auto"/>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UKUPNO</w:t>
            </w:r>
          </w:p>
        </w:tc>
        <w:tc>
          <w:tcPr>
            <w:tcW w:w="620" w:type="dxa"/>
            <w:tcBorders>
              <w:top w:val="nil"/>
              <w:left w:val="nil"/>
              <w:bottom w:val="single" w:sz="4" w:space="0" w:color="auto"/>
              <w:right w:val="single" w:sz="4" w:space="0" w:color="auto"/>
            </w:tcBorders>
            <w:shd w:val="clear" w:color="000000" w:fill="F2F2F2"/>
            <w:vAlign w:val="center"/>
            <w:hideMark/>
          </w:tcPr>
          <w:p w14:paraId="27E5BF94"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287</w:t>
            </w:r>
          </w:p>
        </w:tc>
        <w:tc>
          <w:tcPr>
            <w:tcW w:w="620" w:type="dxa"/>
            <w:tcBorders>
              <w:top w:val="nil"/>
              <w:left w:val="nil"/>
              <w:bottom w:val="single" w:sz="4" w:space="0" w:color="auto"/>
              <w:right w:val="single" w:sz="4" w:space="0" w:color="auto"/>
            </w:tcBorders>
            <w:shd w:val="clear" w:color="000000" w:fill="F2F2F2"/>
            <w:vAlign w:val="center"/>
            <w:hideMark/>
          </w:tcPr>
          <w:p w14:paraId="33F369DB"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7</w:t>
            </w:r>
          </w:p>
        </w:tc>
        <w:tc>
          <w:tcPr>
            <w:tcW w:w="960" w:type="dxa"/>
            <w:tcBorders>
              <w:top w:val="nil"/>
              <w:left w:val="nil"/>
              <w:bottom w:val="single" w:sz="4" w:space="0" w:color="auto"/>
              <w:right w:val="single" w:sz="4" w:space="0" w:color="auto"/>
            </w:tcBorders>
            <w:shd w:val="clear" w:color="000000" w:fill="F2F2F2"/>
            <w:vAlign w:val="center"/>
            <w:hideMark/>
          </w:tcPr>
          <w:p w14:paraId="1C30CF47" w14:textId="77777777" w:rsidR="0018458C" w:rsidRPr="0018458C" w:rsidRDefault="0018458C" w:rsidP="0018458C">
            <w:pPr>
              <w:spacing w:after="0" w:line="240" w:lineRule="auto"/>
              <w:jc w:val="right"/>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100,00%</w:t>
            </w:r>
          </w:p>
        </w:tc>
        <w:tc>
          <w:tcPr>
            <w:tcW w:w="620" w:type="dxa"/>
            <w:tcBorders>
              <w:top w:val="nil"/>
              <w:left w:val="nil"/>
              <w:bottom w:val="single" w:sz="4" w:space="0" w:color="auto"/>
              <w:right w:val="single" w:sz="4" w:space="0" w:color="auto"/>
            </w:tcBorders>
            <w:shd w:val="clear" w:color="000000" w:fill="F2F2F2"/>
            <w:vAlign w:val="center"/>
            <w:hideMark/>
          </w:tcPr>
          <w:p w14:paraId="178C8CAB"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244</w:t>
            </w:r>
          </w:p>
        </w:tc>
        <w:tc>
          <w:tcPr>
            <w:tcW w:w="620" w:type="dxa"/>
            <w:tcBorders>
              <w:top w:val="nil"/>
              <w:left w:val="nil"/>
              <w:bottom w:val="single" w:sz="4" w:space="0" w:color="auto"/>
              <w:right w:val="single" w:sz="4" w:space="0" w:color="auto"/>
            </w:tcBorders>
            <w:shd w:val="clear" w:color="000000" w:fill="F2F2F2"/>
            <w:vAlign w:val="center"/>
            <w:hideMark/>
          </w:tcPr>
          <w:p w14:paraId="05FD469B" w14:textId="77777777" w:rsidR="0018458C" w:rsidRPr="0018458C" w:rsidRDefault="0018458C" w:rsidP="0018458C">
            <w:pPr>
              <w:spacing w:after="0" w:line="240" w:lineRule="auto"/>
              <w:jc w:val="center"/>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6</w:t>
            </w:r>
          </w:p>
        </w:tc>
        <w:tc>
          <w:tcPr>
            <w:tcW w:w="960" w:type="dxa"/>
            <w:tcBorders>
              <w:top w:val="nil"/>
              <w:left w:val="nil"/>
              <w:bottom w:val="single" w:sz="4" w:space="0" w:color="auto"/>
              <w:right w:val="single" w:sz="4" w:space="0" w:color="auto"/>
            </w:tcBorders>
            <w:shd w:val="clear" w:color="000000" w:fill="F2F2F2"/>
            <w:vAlign w:val="center"/>
            <w:hideMark/>
          </w:tcPr>
          <w:p w14:paraId="608A4A8D" w14:textId="77777777" w:rsidR="0018458C" w:rsidRPr="0018458C" w:rsidRDefault="0018458C" w:rsidP="0018458C">
            <w:pPr>
              <w:spacing w:after="0" w:line="240" w:lineRule="auto"/>
              <w:jc w:val="right"/>
              <w:rPr>
                <w:rFonts w:ascii="Times New Roman" w:eastAsia="Times New Roman" w:hAnsi="Times New Roman" w:cs="Times New Roman"/>
                <w:color w:val="000000"/>
                <w:sz w:val="20"/>
                <w:szCs w:val="20"/>
                <w:lang w:eastAsia="hr-HR"/>
              </w:rPr>
            </w:pPr>
            <w:r w:rsidRPr="0018458C">
              <w:rPr>
                <w:rFonts w:ascii="Times New Roman" w:eastAsia="Times New Roman" w:hAnsi="Times New Roman" w:cs="Times New Roman"/>
                <w:color w:val="000000"/>
                <w:sz w:val="20"/>
                <w:szCs w:val="20"/>
                <w:lang w:eastAsia="hr-HR"/>
              </w:rPr>
              <w:t>100,00%</w:t>
            </w:r>
          </w:p>
        </w:tc>
      </w:tr>
      <w:tr w:rsidR="0018458C" w:rsidRPr="0018458C" w14:paraId="38986DAE" w14:textId="77777777" w:rsidTr="0018458C">
        <w:trPr>
          <w:trHeight w:val="360"/>
        </w:trPr>
        <w:tc>
          <w:tcPr>
            <w:tcW w:w="4000" w:type="dxa"/>
            <w:tcBorders>
              <w:top w:val="nil"/>
              <w:left w:val="single" w:sz="4" w:space="0" w:color="auto"/>
              <w:bottom w:val="single" w:sz="4" w:space="0" w:color="auto"/>
              <w:right w:val="single" w:sz="4" w:space="0" w:color="auto"/>
            </w:tcBorders>
            <w:shd w:val="clear" w:color="000000" w:fill="F2F2F2"/>
            <w:vAlign w:val="center"/>
            <w:hideMark/>
          </w:tcPr>
          <w:p w14:paraId="1CEDDFD7" w14:textId="77777777" w:rsidR="0018458C" w:rsidRPr="0018458C" w:rsidRDefault="0018458C" w:rsidP="0018458C">
            <w:pPr>
              <w:spacing w:after="0" w:line="240" w:lineRule="auto"/>
              <w:rPr>
                <w:rFonts w:ascii="Times New Roman" w:eastAsia="Times New Roman" w:hAnsi="Times New Roman" w:cs="Times New Roman"/>
                <w:b/>
                <w:bCs/>
                <w:color w:val="000000"/>
                <w:sz w:val="20"/>
                <w:szCs w:val="20"/>
                <w:lang w:eastAsia="hr-HR"/>
              </w:rPr>
            </w:pPr>
            <w:r w:rsidRPr="0018458C">
              <w:rPr>
                <w:rFonts w:ascii="Times New Roman" w:eastAsia="Times New Roman" w:hAnsi="Times New Roman" w:cs="Times New Roman"/>
                <w:b/>
                <w:bCs/>
                <w:color w:val="000000"/>
                <w:sz w:val="20"/>
                <w:szCs w:val="20"/>
                <w:lang w:eastAsia="hr-HR"/>
              </w:rPr>
              <w:t>SVEUKUPNO</w:t>
            </w:r>
          </w:p>
        </w:tc>
        <w:tc>
          <w:tcPr>
            <w:tcW w:w="2200" w:type="dxa"/>
            <w:gridSpan w:val="3"/>
            <w:tcBorders>
              <w:top w:val="single" w:sz="4" w:space="0" w:color="auto"/>
              <w:left w:val="nil"/>
              <w:bottom w:val="single" w:sz="4" w:space="0" w:color="auto"/>
              <w:right w:val="single" w:sz="4" w:space="0" w:color="auto"/>
            </w:tcBorders>
            <w:shd w:val="clear" w:color="000000" w:fill="F2F2F2"/>
            <w:vAlign w:val="center"/>
            <w:hideMark/>
          </w:tcPr>
          <w:p w14:paraId="6CB0FFE3" w14:textId="77777777" w:rsidR="0018458C" w:rsidRPr="0018458C" w:rsidRDefault="0018458C" w:rsidP="0018458C">
            <w:pPr>
              <w:spacing w:after="0" w:line="240" w:lineRule="auto"/>
              <w:jc w:val="center"/>
              <w:rPr>
                <w:rFonts w:ascii="Times New Roman" w:eastAsia="Times New Roman" w:hAnsi="Times New Roman" w:cs="Times New Roman"/>
                <w:b/>
                <w:bCs/>
                <w:color w:val="000000"/>
                <w:sz w:val="20"/>
                <w:szCs w:val="20"/>
                <w:lang w:eastAsia="hr-HR"/>
              </w:rPr>
            </w:pPr>
            <w:r w:rsidRPr="0018458C">
              <w:rPr>
                <w:rFonts w:ascii="Times New Roman" w:eastAsia="Times New Roman" w:hAnsi="Times New Roman" w:cs="Times New Roman"/>
                <w:b/>
                <w:bCs/>
                <w:color w:val="000000"/>
                <w:sz w:val="20"/>
                <w:szCs w:val="20"/>
                <w:lang w:eastAsia="hr-HR"/>
              </w:rPr>
              <w:t>294</w:t>
            </w:r>
          </w:p>
        </w:tc>
        <w:tc>
          <w:tcPr>
            <w:tcW w:w="2200" w:type="dxa"/>
            <w:gridSpan w:val="3"/>
            <w:tcBorders>
              <w:top w:val="single" w:sz="4" w:space="0" w:color="auto"/>
              <w:left w:val="nil"/>
              <w:bottom w:val="single" w:sz="4" w:space="0" w:color="auto"/>
              <w:right w:val="single" w:sz="4" w:space="0" w:color="auto"/>
            </w:tcBorders>
            <w:shd w:val="clear" w:color="000000" w:fill="F2F2F2"/>
            <w:vAlign w:val="center"/>
            <w:hideMark/>
          </w:tcPr>
          <w:p w14:paraId="5D559DED" w14:textId="77777777" w:rsidR="0018458C" w:rsidRPr="0018458C" w:rsidRDefault="0018458C" w:rsidP="0018458C">
            <w:pPr>
              <w:spacing w:after="0" w:line="240" w:lineRule="auto"/>
              <w:jc w:val="center"/>
              <w:rPr>
                <w:rFonts w:ascii="Times New Roman" w:eastAsia="Times New Roman" w:hAnsi="Times New Roman" w:cs="Times New Roman"/>
                <w:b/>
                <w:bCs/>
                <w:color w:val="000000"/>
                <w:sz w:val="20"/>
                <w:szCs w:val="20"/>
                <w:lang w:eastAsia="hr-HR"/>
              </w:rPr>
            </w:pPr>
            <w:r w:rsidRPr="0018458C">
              <w:rPr>
                <w:rFonts w:ascii="Times New Roman" w:eastAsia="Times New Roman" w:hAnsi="Times New Roman" w:cs="Times New Roman"/>
                <w:b/>
                <w:bCs/>
                <w:color w:val="000000"/>
                <w:sz w:val="20"/>
                <w:szCs w:val="20"/>
                <w:lang w:eastAsia="hr-HR"/>
              </w:rPr>
              <w:t>250</w:t>
            </w:r>
          </w:p>
        </w:tc>
      </w:tr>
    </w:tbl>
    <w:p w14:paraId="79008CE3" w14:textId="01838962" w:rsidR="00375117" w:rsidRPr="006450D7" w:rsidRDefault="0018458C" w:rsidP="006450D7">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fldChar w:fldCharType="end"/>
      </w:r>
    </w:p>
    <w:p w14:paraId="609B6DCD" w14:textId="31FF68A6" w:rsidR="00A12901" w:rsidRDefault="00714497" w:rsidP="00714497">
      <w:pPr>
        <w:spacing w:after="0" w:line="240" w:lineRule="auto"/>
        <w:jc w:val="both"/>
      </w:pPr>
      <w:r w:rsidRPr="001A791B">
        <w:rPr>
          <w:rFonts w:ascii="Times New Roman" w:eastAsia="Calibri" w:hAnsi="Times New Roman" w:cs="Times New Roman"/>
          <w:sz w:val="24"/>
          <w:szCs w:val="24"/>
        </w:rPr>
        <w:t xml:space="preserve">U odnosu na utvrđene sumnje na predikatna kaznena djela u operativnim analizama sumnjivih transakcija (OpAT-ima) </w:t>
      </w:r>
      <w:r w:rsidR="00A12901">
        <w:rPr>
          <w:rFonts w:ascii="Times New Roman" w:eastAsia="Calibri" w:hAnsi="Times New Roman" w:cs="Times New Roman"/>
          <w:sz w:val="24"/>
          <w:szCs w:val="24"/>
        </w:rPr>
        <w:t xml:space="preserve">sa sumnjom na pranje novca, </w:t>
      </w:r>
      <w:r w:rsidRPr="001A791B">
        <w:rPr>
          <w:rFonts w:ascii="Times New Roman" w:eastAsia="Calibri" w:hAnsi="Times New Roman" w:cs="Times New Roman"/>
          <w:sz w:val="24"/>
          <w:szCs w:val="24"/>
        </w:rPr>
        <w:t xml:space="preserve">koje je Ured u </w:t>
      </w:r>
      <w:r>
        <w:rPr>
          <w:rFonts w:ascii="Times New Roman" w:eastAsia="Calibri" w:hAnsi="Times New Roman" w:cs="Times New Roman"/>
          <w:sz w:val="24"/>
          <w:szCs w:val="24"/>
        </w:rPr>
        <w:t>d</w:t>
      </w:r>
      <w:r w:rsidRPr="001A791B">
        <w:rPr>
          <w:rFonts w:ascii="Times New Roman" w:eastAsia="Calibri" w:hAnsi="Times New Roman" w:cs="Times New Roman"/>
          <w:sz w:val="24"/>
          <w:szCs w:val="24"/>
        </w:rPr>
        <w:t xml:space="preserve">ostavio nadležnim tijelima analizom je utvrđeno da su najučestalija predikatna kaznena djela porezna utaja, gospodarska kaznena djela uključujući korupciju te prijevara, kako je prikazano u </w:t>
      </w:r>
      <w:r w:rsidR="0019046F" w:rsidRPr="0019046F">
        <w:rPr>
          <w:rFonts w:ascii="Times New Roman" w:eastAsia="Calibri" w:hAnsi="Times New Roman" w:cs="Times New Roman"/>
          <w:sz w:val="24"/>
          <w:szCs w:val="24"/>
        </w:rPr>
        <w:t>T</w:t>
      </w:r>
      <w:r w:rsidRPr="0019046F">
        <w:rPr>
          <w:rFonts w:ascii="Times New Roman" w:eastAsia="Calibri" w:hAnsi="Times New Roman" w:cs="Times New Roman"/>
          <w:sz w:val="24"/>
          <w:szCs w:val="24"/>
        </w:rPr>
        <w:t xml:space="preserve">ablici </w:t>
      </w:r>
      <w:r w:rsidR="0019046F" w:rsidRPr="0019046F">
        <w:rPr>
          <w:rFonts w:ascii="Times New Roman" w:eastAsia="Calibri" w:hAnsi="Times New Roman" w:cs="Times New Roman"/>
          <w:sz w:val="24"/>
          <w:szCs w:val="24"/>
        </w:rPr>
        <w:t>1</w:t>
      </w:r>
      <w:r w:rsidR="006A72D3">
        <w:rPr>
          <w:rFonts w:ascii="Times New Roman" w:eastAsia="Calibri" w:hAnsi="Times New Roman" w:cs="Times New Roman"/>
          <w:sz w:val="24"/>
          <w:szCs w:val="24"/>
        </w:rPr>
        <w:t>2.</w:t>
      </w:r>
      <w:r w:rsidR="00A12901">
        <w:fldChar w:fldCharType="begin"/>
      </w:r>
      <w:r w:rsidR="00A12901">
        <w:instrText xml:space="preserve"> LINK Excel.Sheet.12 "C:\\Users\\abilus\\Desktop\\Posao\\TABLICE ANALITIKE.xlsx" "List9!R1C1:R10C5" \a \f 4 \h  \* MERGEFORMAT </w:instrText>
      </w:r>
      <w:r w:rsidR="00A12901">
        <w:fldChar w:fldCharType="separate"/>
      </w:r>
    </w:p>
    <w:tbl>
      <w:tblPr>
        <w:tblW w:w="8540" w:type="dxa"/>
        <w:tblLook w:val="04A0" w:firstRow="1" w:lastRow="0" w:firstColumn="1" w:lastColumn="0" w:noHBand="0" w:noVBand="1"/>
      </w:tblPr>
      <w:tblGrid>
        <w:gridCol w:w="4690"/>
        <w:gridCol w:w="959"/>
        <w:gridCol w:w="966"/>
        <w:gridCol w:w="959"/>
        <w:gridCol w:w="966"/>
      </w:tblGrid>
      <w:tr w:rsidR="00A12901" w:rsidRPr="00A12901" w14:paraId="492F946A" w14:textId="77777777" w:rsidTr="00A12901">
        <w:trPr>
          <w:trHeight w:val="288"/>
        </w:trPr>
        <w:tc>
          <w:tcPr>
            <w:tcW w:w="470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4381D30" w14:textId="417FD858" w:rsidR="00A12901" w:rsidRPr="00A12901" w:rsidRDefault="00A12901" w:rsidP="00A12901">
            <w:pPr>
              <w:spacing w:after="0" w:line="240" w:lineRule="auto"/>
              <w:jc w:val="center"/>
              <w:rPr>
                <w:rFonts w:ascii="Times New Roman" w:eastAsia="Times New Roman" w:hAnsi="Times New Roman" w:cs="Times New Roman"/>
                <w:b/>
                <w:bCs/>
                <w:color w:val="000000"/>
                <w:sz w:val="20"/>
                <w:szCs w:val="20"/>
                <w:lang w:eastAsia="hr-HR"/>
              </w:rPr>
            </w:pPr>
            <w:r w:rsidRPr="00A12901">
              <w:rPr>
                <w:rFonts w:ascii="Times New Roman" w:eastAsia="Times New Roman" w:hAnsi="Times New Roman" w:cs="Times New Roman"/>
                <w:b/>
                <w:bCs/>
                <w:color w:val="000000"/>
                <w:sz w:val="20"/>
                <w:szCs w:val="20"/>
                <w:lang w:eastAsia="hr-HR"/>
              </w:rPr>
              <w:lastRenderedPageBreak/>
              <w:t>PREDIKATNO KAZNENO DJELO</w:t>
            </w:r>
          </w:p>
        </w:tc>
        <w:tc>
          <w:tcPr>
            <w:tcW w:w="1920" w:type="dxa"/>
            <w:gridSpan w:val="2"/>
            <w:tcBorders>
              <w:top w:val="single" w:sz="4" w:space="0" w:color="auto"/>
              <w:left w:val="nil"/>
              <w:bottom w:val="single" w:sz="4" w:space="0" w:color="auto"/>
              <w:right w:val="single" w:sz="4" w:space="0" w:color="auto"/>
            </w:tcBorders>
            <w:shd w:val="clear" w:color="000000" w:fill="F2F2F2"/>
            <w:vAlign w:val="center"/>
            <w:hideMark/>
          </w:tcPr>
          <w:p w14:paraId="07C4AC68" w14:textId="77777777" w:rsidR="00A12901" w:rsidRPr="00A12901" w:rsidRDefault="00A12901" w:rsidP="00A12901">
            <w:pPr>
              <w:spacing w:after="0" w:line="240" w:lineRule="auto"/>
              <w:jc w:val="center"/>
              <w:rPr>
                <w:rFonts w:ascii="Times New Roman" w:eastAsia="Times New Roman" w:hAnsi="Times New Roman" w:cs="Times New Roman"/>
                <w:b/>
                <w:bCs/>
                <w:color w:val="000000"/>
                <w:sz w:val="24"/>
                <w:szCs w:val="24"/>
                <w:lang w:eastAsia="hr-HR"/>
              </w:rPr>
            </w:pPr>
            <w:r w:rsidRPr="00A12901">
              <w:rPr>
                <w:rFonts w:ascii="Times New Roman" w:eastAsia="Times New Roman" w:hAnsi="Times New Roman" w:cs="Times New Roman"/>
                <w:b/>
                <w:bCs/>
                <w:color w:val="000000"/>
                <w:sz w:val="24"/>
                <w:szCs w:val="24"/>
                <w:lang w:eastAsia="hr-HR"/>
              </w:rPr>
              <w:t>2021.</w:t>
            </w:r>
          </w:p>
        </w:tc>
        <w:tc>
          <w:tcPr>
            <w:tcW w:w="1920" w:type="dxa"/>
            <w:gridSpan w:val="2"/>
            <w:tcBorders>
              <w:top w:val="single" w:sz="4" w:space="0" w:color="auto"/>
              <w:left w:val="nil"/>
              <w:bottom w:val="single" w:sz="4" w:space="0" w:color="auto"/>
              <w:right w:val="single" w:sz="4" w:space="0" w:color="auto"/>
            </w:tcBorders>
            <w:shd w:val="clear" w:color="000000" w:fill="F2F2F2"/>
            <w:vAlign w:val="center"/>
            <w:hideMark/>
          </w:tcPr>
          <w:p w14:paraId="1F16CFD3" w14:textId="77777777" w:rsidR="00A12901" w:rsidRPr="00A12901" w:rsidRDefault="00A12901" w:rsidP="00A12901">
            <w:pPr>
              <w:spacing w:after="0" w:line="240" w:lineRule="auto"/>
              <w:jc w:val="center"/>
              <w:rPr>
                <w:rFonts w:ascii="Times New Roman" w:eastAsia="Times New Roman" w:hAnsi="Times New Roman" w:cs="Times New Roman"/>
                <w:b/>
                <w:bCs/>
                <w:color w:val="000000"/>
                <w:sz w:val="24"/>
                <w:szCs w:val="24"/>
                <w:lang w:eastAsia="hr-HR"/>
              </w:rPr>
            </w:pPr>
            <w:r w:rsidRPr="00A12901">
              <w:rPr>
                <w:rFonts w:ascii="Times New Roman" w:eastAsia="Times New Roman" w:hAnsi="Times New Roman" w:cs="Times New Roman"/>
                <w:b/>
                <w:bCs/>
                <w:color w:val="000000"/>
                <w:sz w:val="24"/>
                <w:szCs w:val="24"/>
                <w:lang w:eastAsia="hr-HR"/>
              </w:rPr>
              <w:t>2022.</w:t>
            </w:r>
          </w:p>
        </w:tc>
      </w:tr>
      <w:tr w:rsidR="00A12901" w:rsidRPr="00A12901" w14:paraId="784FF7F9" w14:textId="77777777" w:rsidTr="00A12901">
        <w:trPr>
          <w:trHeight w:val="288"/>
        </w:trPr>
        <w:tc>
          <w:tcPr>
            <w:tcW w:w="4700" w:type="dxa"/>
            <w:vMerge/>
            <w:tcBorders>
              <w:top w:val="single" w:sz="4" w:space="0" w:color="auto"/>
              <w:left w:val="single" w:sz="4" w:space="0" w:color="auto"/>
              <w:bottom w:val="single" w:sz="4" w:space="0" w:color="auto"/>
              <w:right w:val="single" w:sz="4" w:space="0" w:color="auto"/>
            </w:tcBorders>
            <w:vAlign w:val="center"/>
            <w:hideMark/>
          </w:tcPr>
          <w:p w14:paraId="415D7A47" w14:textId="77777777" w:rsidR="00A12901" w:rsidRPr="00A12901" w:rsidRDefault="00A12901" w:rsidP="00A12901">
            <w:pPr>
              <w:spacing w:after="0" w:line="240" w:lineRule="auto"/>
              <w:rPr>
                <w:rFonts w:ascii="Times New Roman" w:eastAsia="Times New Roman" w:hAnsi="Times New Roman" w:cs="Times New Roman"/>
                <w:b/>
                <w:bCs/>
                <w:color w:val="000000"/>
                <w:sz w:val="20"/>
                <w:szCs w:val="20"/>
                <w:lang w:eastAsia="hr-HR"/>
              </w:rPr>
            </w:pPr>
          </w:p>
        </w:tc>
        <w:tc>
          <w:tcPr>
            <w:tcW w:w="960" w:type="dxa"/>
            <w:tcBorders>
              <w:top w:val="nil"/>
              <w:left w:val="nil"/>
              <w:bottom w:val="single" w:sz="4" w:space="0" w:color="auto"/>
              <w:right w:val="single" w:sz="4" w:space="0" w:color="auto"/>
            </w:tcBorders>
            <w:shd w:val="clear" w:color="000000" w:fill="F2F2F2"/>
            <w:vAlign w:val="center"/>
            <w:hideMark/>
          </w:tcPr>
          <w:p w14:paraId="3A28D27B" w14:textId="77777777" w:rsidR="00A12901" w:rsidRPr="00A12901" w:rsidRDefault="00A12901" w:rsidP="00A12901">
            <w:pPr>
              <w:spacing w:after="0" w:line="240" w:lineRule="auto"/>
              <w:jc w:val="center"/>
              <w:rPr>
                <w:rFonts w:ascii="Times New Roman" w:eastAsia="Times New Roman" w:hAnsi="Times New Roman" w:cs="Times New Roman"/>
                <w:bCs/>
                <w:color w:val="000000"/>
                <w:sz w:val="20"/>
                <w:szCs w:val="20"/>
                <w:lang w:eastAsia="hr-HR"/>
              </w:rPr>
            </w:pPr>
            <w:r w:rsidRPr="00A12901">
              <w:rPr>
                <w:rFonts w:ascii="Times New Roman" w:eastAsia="Times New Roman" w:hAnsi="Times New Roman" w:cs="Times New Roman"/>
                <w:bCs/>
                <w:color w:val="000000"/>
                <w:sz w:val="20"/>
                <w:szCs w:val="20"/>
                <w:lang w:eastAsia="hr-HR"/>
              </w:rPr>
              <w:t>BROJ</w:t>
            </w:r>
          </w:p>
        </w:tc>
        <w:tc>
          <w:tcPr>
            <w:tcW w:w="960" w:type="dxa"/>
            <w:tcBorders>
              <w:top w:val="nil"/>
              <w:left w:val="nil"/>
              <w:bottom w:val="single" w:sz="4" w:space="0" w:color="auto"/>
              <w:right w:val="single" w:sz="4" w:space="0" w:color="auto"/>
            </w:tcBorders>
            <w:shd w:val="clear" w:color="000000" w:fill="F2F2F2"/>
            <w:vAlign w:val="center"/>
            <w:hideMark/>
          </w:tcPr>
          <w:p w14:paraId="4B1F869C" w14:textId="77777777" w:rsidR="00A12901" w:rsidRPr="00A12901" w:rsidRDefault="00A12901" w:rsidP="00A12901">
            <w:pPr>
              <w:spacing w:after="0" w:line="240" w:lineRule="auto"/>
              <w:jc w:val="center"/>
              <w:rPr>
                <w:rFonts w:ascii="Times New Roman" w:eastAsia="Times New Roman" w:hAnsi="Times New Roman" w:cs="Times New Roman"/>
                <w:bCs/>
                <w:color w:val="000000"/>
                <w:sz w:val="20"/>
                <w:szCs w:val="20"/>
                <w:lang w:eastAsia="hr-HR"/>
              </w:rPr>
            </w:pPr>
            <w:r w:rsidRPr="00A12901">
              <w:rPr>
                <w:rFonts w:ascii="Times New Roman" w:eastAsia="Times New Roman" w:hAnsi="Times New Roman" w:cs="Times New Roman"/>
                <w:bCs/>
                <w:color w:val="000000"/>
                <w:sz w:val="20"/>
                <w:szCs w:val="20"/>
                <w:lang w:eastAsia="hr-HR"/>
              </w:rPr>
              <w:t>%</w:t>
            </w:r>
          </w:p>
        </w:tc>
        <w:tc>
          <w:tcPr>
            <w:tcW w:w="960" w:type="dxa"/>
            <w:tcBorders>
              <w:top w:val="nil"/>
              <w:left w:val="nil"/>
              <w:bottom w:val="single" w:sz="4" w:space="0" w:color="auto"/>
              <w:right w:val="single" w:sz="4" w:space="0" w:color="auto"/>
            </w:tcBorders>
            <w:shd w:val="clear" w:color="000000" w:fill="F2F2F2"/>
            <w:vAlign w:val="center"/>
            <w:hideMark/>
          </w:tcPr>
          <w:p w14:paraId="137BE4EB" w14:textId="77777777" w:rsidR="00A12901" w:rsidRPr="00A12901" w:rsidRDefault="00A12901" w:rsidP="00A12901">
            <w:pPr>
              <w:spacing w:after="0" w:line="240" w:lineRule="auto"/>
              <w:jc w:val="center"/>
              <w:rPr>
                <w:rFonts w:ascii="Times New Roman" w:eastAsia="Times New Roman" w:hAnsi="Times New Roman" w:cs="Times New Roman"/>
                <w:bCs/>
                <w:color w:val="000000"/>
                <w:sz w:val="20"/>
                <w:szCs w:val="20"/>
                <w:lang w:eastAsia="hr-HR"/>
              </w:rPr>
            </w:pPr>
            <w:r w:rsidRPr="00A12901">
              <w:rPr>
                <w:rFonts w:ascii="Times New Roman" w:eastAsia="Times New Roman" w:hAnsi="Times New Roman" w:cs="Times New Roman"/>
                <w:bCs/>
                <w:color w:val="000000"/>
                <w:sz w:val="20"/>
                <w:szCs w:val="20"/>
                <w:lang w:eastAsia="hr-HR"/>
              </w:rPr>
              <w:t>BROJ</w:t>
            </w:r>
          </w:p>
        </w:tc>
        <w:tc>
          <w:tcPr>
            <w:tcW w:w="960" w:type="dxa"/>
            <w:tcBorders>
              <w:top w:val="nil"/>
              <w:left w:val="nil"/>
              <w:bottom w:val="single" w:sz="4" w:space="0" w:color="auto"/>
              <w:right w:val="single" w:sz="4" w:space="0" w:color="auto"/>
            </w:tcBorders>
            <w:shd w:val="clear" w:color="000000" w:fill="F2F2F2"/>
            <w:vAlign w:val="center"/>
            <w:hideMark/>
          </w:tcPr>
          <w:p w14:paraId="1309C179" w14:textId="77777777" w:rsidR="00A12901" w:rsidRPr="00A12901" w:rsidRDefault="00A12901" w:rsidP="00A12901">
            <w:pPr>
              <w:spacing w:after="0" w:line="240" w:lineRule="auto"/>
              <w:jc w:val="center"/>
              <w:rPr>
                <w:rFonts w:ascii="Times New Roman" w:eastAsia="Times New Roman" w:hAnsi="Times New Roman" w:cs="Times New Roman"/>
                <w:bCs/>
                <w:color w:val="000000"/>
                <w:sz w:val="20"/>
                <w:szCs w:val="20"/>
                <w:lang w:eastAsia="hr-HR"/>
              </w:rPr>
            </w:pPr>
            <w:r w:rsidRPr="00A12901">
              <w:rPr>
                <w:rFonts w:ascii="Times New Roman" w:eastAsia="Times New Roman" w:hAnsi="Times New Roman" w:cs="Times New Roman"/>
                <w:bCs/>
                <w:color w:val="000000"/>
                <w:sz w:val="20"/>
                <w:szCs w:val="20"/>
                <w:lang w:eastAsia="hr-HR"/>
              </w:rPr>
              <w:t>%</w:t>
            </w:r>
          </w:p>
        </w:tc>
      </w:tr>
      <w:tr w:rsidR="00A12901" w:rsidRPr="00A12901" w14:paraId="5C467084" w14:textId="77777777" w:rsidTr="00A12901">
        <w:trPr>
          <w:trHeight w:val="288"/>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2EE9146D" w14:textId="77777777" w:rsidR="00A12901" w:rsidRPr="00A12901" w:rsidRDefault="00A12901" w:rsidP="00A12901">
            <w:pPr>
              <w:spacing w:after="0" w:line="240" w:lineRule="auto"/>
              <w:jc w:val="both"/>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 xml:space="preserve">POREZNA UTAJA </w:t>
            </w:r>
          </w:p>
        </w:tc>
        <w:tc>
          <w:tcPr>
            <w:tcW w:w="960" w:type="dxa"/>
            <w:tcBorders>
              <w:top w:val="nil"/>
              <w:left w:val="nil"/>
              <w:bottom w:val="single" w:sz="4" w:space="0" w:color="auto"/>
              <w:right w:val="single" w:sz="4" w:space="0" w:color="auto"/>
            </w:tcBorders>
            <w:shd w:val="clear" w:color="auto" w:fill="auto"/>
            <w:vAlign w:val="center"/>
            <w:hideMark/>
          </w:tcPr>
          <w:p w14:paraId="3EC174F0"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130</w:t>
            </w:r>
          </w:p>
        </w:tc>
        <w:tc>
          <w:tcPr>
            <w:tcW w:w="960" w:type="dxa"/>
            <w:tcBorders>
              <w:top w:val="nil"/>
              <w:left w:val="nil"/>
              <w:bottom w:val="single" w:sz="4" w:space="0" w:color="auto"/>
              <w:right w:val="single" w:sz="4" w:space="0" w:color="auto"/>
            </w:tcBorders>
            <w:shd w:val="clear" w:color="auto" w:fill="auto"/>
            <w:vAlign w:val="center"/>
            <w:hideMark/>
          </w:tcPr>
          <w:p w14:paraId="1EAFDEC6"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45,30%</w:t>
            </w:r>
          </w:p>
        </w:tc>
        <w:tc>
          <w:tcPr>
            <w:tcW w:w="960" w:type="dxa"/>
            <w:tcBorders>
              <w:top w:val="nil"/>
              <w:left w:val="nil"/>
              <w:bottom w:val="single" w:sz="4" w:space="0" w:color="auto"/>
              <w:right w:val="single" w:sz="4" w:space="0" w:color="auto"/>
            </w:tcBorders>
            <w:shd w:val="clear" w:color="auto" w:fill="auto"/>
            <w:vAlign w:val="center"/>
            <w:hideMark/>
          </w:tcPr>
          <w:p w14:paraId="5C0225A0"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91</w:t>
            </w:r>
          </w:p>
        </w:tc>
        <w:tc>
          <w:tcPr>
            <w:tcW w:w="960" w:type="dxa"/>
            <w:tcBorders>
              <w:top w:val="nil"/>
              <w:left w:val="nil"/>
              <w:bottom w:val="single" w:sz="4" w:space="0" w:color="auto"/>
              <w:right w:val="single" w:sz="4" w:space="0" w:color="auto"/>
            </w:tcBorders>
            <w:shd w:val="clear" w:color="auto" w:fill="auto"/>
            <w:vAlign w:val="center"/>
            <w:hideMark/>
          </w:tcPr>
          <w:p w14:paraId="596A40D7"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37,30%</w:t>
            </w:r>
          </w:p>
        </w:tc>
      </w:tr>
      <w:tr w:rsidR="00A12901" w:rsidRPr="00A12901" w14:paraId="6511E7E5" w14:textId="77777777" w:rsidTr="00A12901">
        <w:trPr>
          <w:trHeight w:val="528"/>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15574DD3" w14:textId="77777777" w:rsidR="00A12901" w:rsidRPr="00A12901" w:rsidRDefault="00A12901" w:rsidP="00A12901">
            <w:pPr>
              <w:spacing w:after="0" w:line="240" w:lineRule="auto"/>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ZLOUPORABA U GOSPODARSKOM POSLOVANJU I KORUPCIJA</w:t>
            </w:r>
          </w:p>
        </w:tc>
        <w:tc>
          <w:tcPr>
            <w:tcW w:w="960" w:type="dxa"/>
            <w:tcBorders>
              <w:top w:val="nil"/>
              <w:left w:val="nil"/>
              <w:bottom w:val="single" w:sz="4" w:space="0" w:color="auto"/>
              <w:right w:val="single" w:sz="4" w:space="0" w:color="auto"/>
            </w:tcBorders>
            <w:shd w:val="clear" w:color="auto" w:fill="auto"/>
            <w:vAlign w:val="center"/>
            <w:hideMark/>
          </w:tcPr>
          <w:p w14:paraId="51515145"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63</w:t>
            </w:r>
          </w:p>
        </w:tc>
        <w:tc>
          <w:tcPr>
            <w:tcW w:w="960" w:type="dxa"/>
            <w:tcBorders>
              <w:top w:val="nil"/>
              <w:left w:val="nil"/>
              <w:bottom w:val="single" w:sz="4" w:space="0" w:color="auto"/>
              <w:right w:val="single" w:sz="4" w:space="0" w:color="auto"/>
            </w:tcBorders>
            <w:shd w:val="clear" w:color="auto" w:fill="auto"/>
            <w:vAlign w:val="center"/>
            <w:hideMark/>
          </w:tcPr>
          <w:p w14:paraId="37A7B80E"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21,95%</w:t>
            </w:r>
          </w:p>
        </w:tc>
        <w:tc>
          <w:tcPr>
            <w:tcW w:w="960" w:type="dxa"/>
            <w:tcBorders>
              <w:top w:val="nil"/>
              <w:left w:val="nil"/>
              <w:bottom w:val="single" w:sz="4" w:space="0" w:color="auto"/>
              <w:right w:val="single" w:sz="4" w:space="0" w:color="auto"/>
            </w:tcBorders>
            <w:shd w:val="clear" w:color="auto" w:fill="auto"/>
            <w:vAlign w:val="center"/>
            <w:hideMark/>
          </w:tcPr>
          <w:p w14:paraId="384CD1D2"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42</w:t>
            </w:r>
          </w:p>
        </w:tc>
        <w:tc>
          <w:tcPr>
            <w:tcW w:w="960" w:type="dxa"/>
            <w:tcBorders>
              <w:top w:val="nil"/>
              <w:left w:val="nil"/>
              <w:bottom w:val="single" w:sz="4" w:space="0" w:color="auto"/>
              <w:right w:val="single" w:sz="4" w:space="0" w:color="auto"/>
            </w:tcBorders>
            <w:shd w:val="clear" w:color="auto" w:fill="auto"/>
            <w:vAlign w:val="center"/>
            <w:hideMark/>
          </w:tcPr>
          <w:p w14:paraId="761A2BDE"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17,21%</w:t>
            </w:r>
          </w:p>
        </w:tc>
      </w:tr>
      <w:tr w:rsidR="00A12901" w:rsidRPr="00A12901" w14:paraId="6AC1F385" w14:textId="77777777" w:rsidTr="00A12901">
        <w:trPr>
          <w:trHeight w:val="288"/>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7AFA2CF5" w14:textId="77777777" w:rsidR="00A12901" w:rsidRPr="00A12901" w:rsidRDefault="00A12901" w:rsidP="00A12901">
            <w:pPr>
              <w:spacing w:after="0" w:line="240" w:lineRule="auto"/>
              <w:jc w:val="both"/>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NEPOZNATO</w:t>
            </w:r>
          </w:p>
        </w:tc>
        <w:tc>
          <w:tcPr>
            <w:tcW w:w="960" w:type="dxa"/>
            <w:tcBorders>
              <w:top w:val="nil"/>
              <w:left w:val="nil"/>
              <w:bottom w:val="single" w:sz="4" w:space="0" w:color="auto"/>
              <w:right w:val="single" w:sz="4" w:space="0" w:color="auto"/>
            </w:tcBorders>
            <w:shd w:val="clear" w:color="auto" w:fill="auto"/>
            <w:vAlign w:val="center"/>
            <w:hideMark/>
          </w:tcPr>
          <w:p w14:paraId="6A9B9B01"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43</w:t>
            </w:r>
          </w:p>
        </w:tc>
        <w:tc>
          <w:tcPr>
            <w:tcW w:w="960" w:type="dxa"/>
            <w:tcBorders>
              <w:top w:val="nil"/>
              <w:left w:val="nil"/>
              <w:bottom w:val="single" w:sz="4" w:space="0" w:color="auto"/>
              <w:right w:val="single" w:sz="4" w:space="0" w:color="auto"/>
            </w:tcBorders>
            <w:shd w:val="clear" w:color="auto" w:fill="auto"/>
            <w:vAlign w:val="center"/>
            <w:hideMark/>
          </w:tcPr>
          <w:p w14:paraId="6E9653B2"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14,98%</w:t>
            </w:r>
          </w:p>
        </w:tc>
        <w:tc>
          <w:tcPr>
            <w:tcW w:w="960" w:type="dxa"/>
            <w:tcBorders>
              <w:top w:val="nil"/>
              <w:left w:val="nil"/>
              <w:bottom w:val="single" w:sz="4" w:space="0" w:color="auto"/>
              <w:right w:val="single" w:sz="4" w:space="0" w:color="auto"/>
            </w:tcBorders>
            <w:shd w:val="clear" w:color="auto" w:fill="auto"/>
            <w:vAlign w:val="center"/>
            <w:hideMark/>
          </w:tcPr>
          <w:p w14:paraId="1815C7CE"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47</w:t>
            </w:r>
          </w:p>
        </w:tc>
        <w:tc>
          <w:tcPr>
            <w:tcW w:w="960" w:type="dxa"/>
            <w:tcBorders>
              <w:top w:val="nil"/>
              <w:left w:val="nil"/>
              <w:bottom w:val="single" w:sz="4" w:space="0" w:color="auto"/>
              <w:right w:val="single" w:sz="4" w:space="0" w:color="auto"/>
            </w:tcBorders>
            <w:shd w:val="clear" w:color="auto" w:fill="auto"/>
            <w:vAlign w:val="center"/>
            <w:hideMark/>
          </w:tcPr>
          <w:p w14:paraId="169EF24B"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19,26%</w:t>
            </w:r>
          </w:p>
        </w:tc>
      </w:tr>
      <w:tr w:rsidR="00A12901" w:rsidRPr="00A12901" w14:paraId="4C692770" w14:textId="77777777" w:rsidTr="00A12901">
        <w:trPr>
          <w:trHeight w:val="288"/>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2DA83213" w14:textId="77777777" w:rsidR="00A12901" w:rsidRPr="00A12901" w:rsidRDefault="00A12901" w:rsidP="00A12901">
            <w:pPr>
              <w:spacing w:after="0" w:line="240" w:lineRule="auto"/>
              <w:jc w:val="both"/>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 xml:space="preserve">PRIJEVARA </w:t>
            </w:r>
          </w:p>
        </w:tc>
        <w:tc>
          <w:tcPr>
            <w:tcW w:w="960" w:type="dxa"/>
            <w:tcBorders>
              <w:top w:val="nil"/>
              <w:left w:val="nil"/>
              <w:bottom w:val="single" w:sz="4" w:space="0" w:color="auto"/>
              <w:right w:val="single" w:sz="4" w:space="0" w:color="auto"/>
            </w:tcBorders>
            <w:shd w:val="clear" w:color="auto" w:fill="auto"/>
            <w:vAlign w:val="center"/>
            <w:hideMark/>
          </w:tcPr>
          <w:p w14:paraId="2895C6F0"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26</w:t>
            </w:r>
          </w:p>
        </w:tc>
        <w:tc>
          <w:tcPr>
            <w:tcW w:w="960" w:type="dxa"/>
            <w:tcBorders>
              <w:top w:val="nil"/>
              <w:left w:val="nil"/>
              <w:bottom w:val="single" w:sz="4" w:space="0" w:color="auto"/>
              <w:right w:val="single" w:sz="4" w:space="0" w:color="auto"/>
            </w:tcBorders>
            <w:shd w:val="clear" w:color="auto" w:fill="auto"/>
            <w:vAlign w:val="center"/>
            <w:hideMark/>
          </w:tcPr>
          <w:p w14:paraId="14FDBC55"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9,06%</w:t>
            </w:r>
          </w:p>
        </w:tc>
        <w:tc>
          <w:tcPr>
            <w:tcW w:w="960" w:type="dxa"/>
            <w:tcBorders>
              <w:top w:val="nil"/>
              <w:left w:val="nil"/>
              <w:bottom w:val="single" w:sz="4" w:space="0" w:color="auto"/>
              <w:right w:val="single" w:sz="4" w:space="0" w:color="auto"/>
            </w:tcBorders>
            <w:shd w:val="clear" w:color="auto" w:fill="auto"/>
            <w:vAlign w:val="center"/>
            <w:hideMark/>
          </w:tcPr>
          <w:p w14:paraId="652EC5DE"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33</w:t>
            </w:r>
          </w:p>
        </w:tc>
        <w:tc>
          <w:tcPr>
            <w:tcW w:w="960" w:type="dxa"/>
            <w:tcBorders>
              <w:top w:val="nil"/>
              <w:left w:val="nil"/>
              <w:bottom w:val="single" w:sz="4" w:space="0" w:color="auto"/>
              <w:right w:val="single" w:sz="4" w:space="0" w:color="auto"/>
            </w:tcBorders>
            <w:shd w:val="clear" w:color="auto" w:fill="auto"/>
            <w:vAlign w:val="center"/>
            <w:hideMark/>
          </w:tcPr>
          <w:p w14:paraId="4E69D04E"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13,52%</w:t>
            </w:r>
          </w:p>
        </w:tc>
      </w:tr>
      <w:tr w:rsidR="00A12901" w:rsidRPr="00A12901" w14:paraId="1CADA276" w14:textId="77777777" w:rsidTr="00A12901">
        <w:trPr>
          <w:trHeight w:val="288"/>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791ACB20" w14:textId="77777777" w:rsidR="00A12901" w:rsidRPr="00A12901" w:rsidRDefault="00A12901" w:rsidP="00A12901">
            <w:pPr>
              <w:spacing w:after="0" w:line="240" w:lineRule="auto"/>
              <w:jc w:val="both"/>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OSTALA KAZNENA DJELA</w:t>
            </w:r>
          </w:p>
        </w:tc>
        <w:tc>
          <w:tcPr>
            <w:tcW w:w="960" w:type="dxa"/>
            <w:tcBorders>
              <w:top w:val="nil"/>
              <w:left w:val="nil"/>
              <w:bottom w:val="single" w:sz="4" w:space="0" w:color="auto"/>
              <w:right w:val="single" w:sz="4" w:space="0" w:color="auto"/>
            </w:tcBorders>
            <w:shd w:val="clear" w:color="auto" w:fill="auto"/>
            <w:vAlign w:val="center"/>
            <w:hideMark/>
          </w:tcPr>
          <w:p w14:paraId="13EF89DB"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11</w:t>
            </w:r>
          </w:p>
        </w:tc>
        <w:tc>
          <w:tcPr>
            <w:tcW w:w="960" w:type="dxa"/>
            <w:tcBorders>
              <w:top w:val="nil"/>
              <w:left w:val="nil"/>
              <w:bottom w:val="single" w:sz="4" w:space="0" w:color="auto"/>
              <w:right w:val="single" w:sz="4" w:space="0" w:color="auto"/>
            </w:tcBorders>
            <w:shd w:val="clear" w:color="auto" w:fill="auto"/>
            <w:vAlign w:val="center"/>
            <w:hideMark/>
          </w:tcPr>
          <w:p w14:paraId="67885A84"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3,83%</w:t>
            </w:r>
          </w:p>
        </w:tc>
        <w:tc>
          <w:tcPr>
            <w:tcW w:w="960" w:type="dxa"/>
            <w:tcBorders>
              <w:top w:val="nil"/>
              <w:left w:val="nil"/>
              <w:bottom w:val="single" w:sz="4" w:space="0" w:color="auto"/>
              <w:right w:val="single" w:sz="4" w:space="0" w:color="auto"/>
            </w:tcBorders>
            <w:shd w:val="clear" w:color="auto" w:fill="auto"/>
            <w:vAlign w:val="center"/>
            <w:hideMark/>
          </w:tcPr>
          <w:p w14:paraId="7505707D"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9</w:t>
            </w:r>
          </w:p>
        </w:tc>
        <w:tc>
          <w:tcPr>
            <w:tcW w:w="960" w:type="dxa"/>
            <w:tcBorders>
              <w:top w:val="nil"/>
              <w:left w:val="nil"/>
              <w:bottom w:val="single" w:sz="4" w:space="0" w:color="auto"/>
              <w:right w:val="single" w:sz="4" w:space="0" w:color="auto"/>
            </w:tcBorders>
            <w:shd w:val="clear" w:color="auto" w:fill="auto"/>
            <w:vAlign w:val="center"/>
            <w:hideMark/>
          </w:tcPr>
          <w:p w14:paraId="6CB952E2"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3,68%</w:t>
            </w:r>
          </w:p>
        </w:tc>
      </w:tr>
      <w:tr w:rsidR="00A12901" w:rsidRPr="00A12901" w14:paraId="72218EB8" w14:textId="77777777" w:rsidTr="00A12901">
        <w:trPr>
          <w:trHeight w:val="288"/>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4C3E542B" w14:textId="77777777" w:rsidR="00A12901" w:rsidRPr="00A12901" w:rsidRDefault="00A12901" w:rsidP="00A12901">
            <w:pPr>
              <w:spacing w:after="0" w:line="240" w:lineRule="auto"/>
              <w:jc w:val="both"/>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 xml:space="preserve">RAČUNALNA PRIJEVARA </w:t>
            </w:r>
          </w:p>
        </w:tc>
        <w:tc>
          <w:tcPr>
            <w:tcW w:w="960" w:type="dxa"/>
            <w:tcBorders>
              <w:top w:val="nil"/>
              <w:left w:val="nil"/>
              <w:bottom w:val="single" w:sz="4" w:space="0" w:color="auto"/>
              <w:right w:val="single" w:sz="4" w:space="0" w:color="auto"/>
            </w:tcBorders>
            <w:shd w:val="clear" w:color="auto" w:fill="auto"/>
            <w:vAlign w:val="center"/>
            <w:hideMark/>
          </w:tcPr>
          <w:p w14:paraId="0E2FE485"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8</w:t>
            </w:r>
          </w:p>
        </w:tc>
        <w:tc>
          <w:tcPr>
            <w:tcW w:w="960" w:type="dxa"/>
            <w:tcBorders>
              <w:top w:val="nil"/>
              <w:left w:val="nil"/>
              <w:bottom w:val="single" w:sz="4" w:space="0" w:color="auto"/>
              <w:right w:val="single" w:sz="4" w:space="0" w:color="auto"/>
            </w:tcBorders>
            <w:shd w:val="clear" w:color="auto" w:fill="auto"/>
            <w:vAlign w:val="center"/>
            <w:hideMark/>
          </w:tcPr>
          <w:p w14:paraId="5E5E6F32"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2,79%</w:t>
            </w:r>
          </w:p>
        </w:tc>
        <w:tc>
          <w:tcPr>
            <w:tcW w:w="960" w:type="dxa"/>
            <w:tcBorders>
              <w:top w:val="nil"/>
              <w:left w:val="nil"/>
              <w:bottom w:val="single" w:sz="4" w:space="0" w:color="auto"/>
              <w:right w:val="single" w:sz="4" w:space="0" w:color="auto"/>
            </w:tcBorders>
            <w:shd w:val="clear" w:color="auto" w:fill="auto"/>
            <w:vAlign w:val="center"/>
            <w:hideMark/>
          </w:tcPr>
          <w:p w14:paraId="67DCC9CC"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14</w:t>
            </w:r>
          </w:p>
        </w:tc>
        <w:tc>
          <w:tcPr>
            <w:tcW w:w="960" w:type="dxa"/>
            <w:tcBorders>
              <w:top w:val="nil"/>
              <w:left w:val="nil"/>
              <w:bottom w:val="single" w:sz="4" w:space="0" w:color="auto"/>
              <w:right w:val="single" w:sz="4" w:space="0" w:color="auto"/>
            </w:tcBorders>
            <w:shd w:val="clear" w:color="auto" w:fill="auto"/>
            <w:vAlign w:val="center"/>
            <w:hideMark/>
          </w:tcPr>
          <w:p w14:paraId="1C3681E2"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5,74%</w:t>
            </w:r>
          </w:p>
        </w:tc>
      </w:tr>
      <w:tr w:rsidR="00A12901" w:rsidRPr="00A12901" w14:paraId="2639EE55" w14:textId="77777777" w:rsidTr="00A12901">
        <w:trPr>
          <w:trHeight w:val="288"/>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0C6D1DF6" w14:textId="77777777" w:rsidR="00A12901" w:rsidRPr="00A12901" w:rsidRDefault="00A12901" w:rsidP="00A12901">
            <w:pPr>
              <w:spacing w:after="0" w:line="240" w:lineRule="auto"/>
              <w:jc w:val="both"/>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 xml:space="preserve">DROGA </w:t>
            </w:r>
          </w:p>
        </w:tc>
        <w:tc>
          <w:tcPr>
            <w:tcW w:w="960" w:type="dxa"/>
            <w:tcBorders>
              <w:top w:val="nil"/>
              <w:left w:val="nil"/>
              <w:bottom w:val="single" w:sz="4" w:space="0" w:color="auto"/>
              <w:right w:val="single" w:sz="4" w:space="0" w:color="auto"/>
            </w:tcBorders>
            <w:shd w:val="clear" w:color="auto" w:fill="auto"/>
            <w:vAlign w:val="center"/>
            <w:hideMark/>
          </w:tcPr>
          <w:p w14:paraId="5123163F"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6</w:t>
            </w:r>
          </w:p>
        </w:tc>
        <w:tc>
          <w:tcPr>
            <w:tcW w:w="960" w:type="dxa"/>
            <w:tcBorders>
              <w:top w:val="nil"/>
              <w:left w:val="nil"/>
              <w:bottom w:val="single" w:sz="4" w:space="0" w:color="auto"/>
              <w:right w:val="single" w:sz="4" w:space="0" w:color="auto"/>
            </w:tcBorders>
            <w:shd w:val="clear" w:color="auto" w:fill="auto"/>
            <w:vAlign w:val="center"/>
            <w:hideMark/>
          </w:tcPr>
          <w:p w14:paraId="4A194B59"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2,09%</w:t>
            </w:r>
          </w:p>
        </w:tc>
        <w:tc>
          <w:tcPr>
            <w:tcW w:w="960" w:type="dxa"/>
            <w:tcBorders>
              <w:top w:val="nil"/>
              <w:left w:val="nil"/>
              <w:bottom w:val="single" w:sz="4" w:space="0" w:color="auto"/>
              <w:right w:val="single" w:sz="4" w:space="0" w:color="auto"/>
            </w:tcBorders>
            <w:shd w:val="clear" w:color="auto" w:fill="auto"/>
            <w:vAlign w:val="center"/>
            <w:hideMark/>
          </w:tcPr>
          <w:p w14:paraId="476C74B7"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8</w:t>
            </w:r>
          </w:p>
        </w:tc>
        <w:tc>
          <w:tcPr>
            <w:tcW w:w="960" w:type="dxa"/>
            <w:tcBorders>
              <w:top w:val="nil"/>
              <w:left w:val="nil"/>
              <w:bottom w:val="single" w:sz="4" w:space="0" w:color="auto"/>
              <w:right w:val="single" w:sz="4" w:space="0" w:color="auto"/>
            </w:tcBorders>
            <w:shd w:val="clear" w:color="auto" w:fill="auto"/>
            <w:vAlign w:val="center"/>
            <w:hideMark/>
          </w:tcPr>
          <w:p w14:paraId="26C67317" w14:textId="77777777" w:rsidR="00A12901" w:rsidRPr="00A12901" w:rsidRDefault="00A12901" w:rsidP="00A12901">
            <w:pPr>
              <w:spacing w:after="0" w:line="240" w:lineRule="auto"/>
              <w:jc w:val="center"/>
              <w:rPr>
                <w:rFonts w:ascii="Times New Roman" w:eastAsia="Times New Roman" w:hAnsi="Times New Roman" w:cs="Times New Roman"/>
                <w:color w:val="000000"/>
                <w:sz w:val="20"/>
                <w:szCs w:val="20"/>
                <w:lang w:eastAsia="hr-HR"/>
              </w:rPr>
            </w:pPr>
            <w:r w:rsidRPr="00A12901">
              <w:rPr>
                <w:rFonts w:ascii="Times New Roman" w:eastAsia="Times New Roman" w:hAnsi="Times New Roman" w:cs="Times New Roman"/>
                <w:color w:val="000000"/>
                <w:sz w:val="20"/>
                <w:szCs w:val="20"/>
                <w:lang w:eastAsia="hr-HR"/>
              </w:rPr>
              <w:t>3,28%</w:t>
            </w:r>
          </w:p>
        </w:tc>
      </w:tr>
      <w:tr w:rsidR="00A12901" w:rsidRPr="00A12901" w14:paraId="5C303C22" w14:textId="77777777" w:rsidTr="00A12901">
        <w:trPr>
          <w:trHeight w:val="288"/>
        </w:trPr>
        <w:tc>
          <w:tcPr>
            <w:tcW w:w="4700" w:type="dxa"/>
            <w:tcBorders>
              <w:top w:val="nil"/>
              <w:left w:val="single" w:sz="4" w:space="0" w:color="auto"/>
              <w:bottom w:val="single" w:sz="4" w:space="0" w:color="auto"/>
              <w:right w:val="single" w:sz="4" w:space="0" w:color="auto"/>
            </w:tcBorders>
            <w:shd w:val="clear" w:color="000000" w:fill="F2F2F2"/>
            <w:vAlign w:val="center"/>
            <w:hideMark/>
          </w:tcPr>
          <w:p w14:paraId="1778F678" w14:textId="77777777" w:rsidR="00A12901" w:rsidRPr="00A12901" w:rsidRDefault="00A12901" w:rsidP="00A12901">
            <w:pPr>
              <w:spacing w:after="0" w:line="240" w:lineRule="auto"/>
              <w:jc w:val="both"/>
              <w:rPr>
                <w:rFonts w:ascii="Times New Roman" w:eastAsia="Times New Roman" w:hAnsi="Times New Roman" w:cs="Times New Roman"/>
                <w:b/>
                <w:bCs/>
                <w:color w:val="000000"/>
                <w:sz w:val="20"/>
                <w:szCs w:val="20"/>
                <w:lang w:eastAsia="hr-HR"/>
              </w:rPr>
            </w:pPr>
            <w:r w:rsidRPr="00A12901">
              <w:rPr>
                <w:rFonts w:ascii="Times New Roman" w:eastAsia="Times New Roman" w:hAnsi="Times New Roman" w:cs="Times New Roman"/>
                <w:b/>
                <w:bCs/>
                <w:color w:val="000000"/>
                <w:sz w:val="20"/>
                <w:szCs w:val="20"/>
                <w:lang w:eastAsia="hr-HR"/>
              </w:rPr>
              <w:t xml:space="preserve">UKUPNO </w:t>
            </w:r>
          </w:p>
        </w:tc>
        <w:tc>
          <w:tcPr>
            <w:tcW w:w="960" w:type="dxa"/>
            <w:tcBorders>
              <w:top w:val="nil"/>
              <w:left w:val="nil"/>
              <w:bottom w:val="single" w:sz="4" w:space="0" w:color="auto"/>
              <w:right w:val="single" w:sz="4" w:space="0" w:color="auto"/>
            </w:tcBorders>
            <w:shd w:val="clear" w:color="000000" w:fill="F2F2F2"/>
            <w:vAlign w:val="center"/>
            <w:hideMark/>
          </w:tcPr>
          <w:p w14:paraId="169406EE" w14:textId="77777777" w:rsidR="00A12901" w:rsidRPr="00A12901" w:rsidRDefault="00A12901" w:rsidP="00A12901">
            <w:pPr>
              <w:spacing w:after="0" w:line="240" w:lineRule="auto"/>
              <w:jc w:val="center"/>
              <w:rPr>
                <w:rFonts w:ascii="Times New Roman" w:eastAsia="Times New Roman" w:hAnsi="Times New Roman" w:cs="Times New Roman"/>
                <w:b/>
                <w:bCs/>
                <w:color w:val="000000"/>
                <w:sz w:val="20"/>
                <w:szCs w:val="20"/>
                <w:lang w:eastAsia="hr-HR"/>
              </w:rPr>
            </w:pPr>
            <w:r w:rsidRPr="00A12901">
              <w:rPr>
                <w:rFonts w:ascii="Times New Roman" w:eastAsia="Times New Roman" w:hAnsi="Times New Roman" w:cs="Times New Roman"/>
                <w:b/>
                <w:bCs/>
                <w:color w:val="000000"/>
                <w:sz w:val="20"/>
                <w:szCs w:val="20"/>
                <w:lang w:eastAsia="hr-HR"/>
              </w:rPr>
              <w:t>287</w:t>
            </w:r>
          </w:p>
        </w:tc>
        <w:tc>
          <w:tcPr>
            <w:tcW w:w="960" w:type="dxa"/>
            <w:tcBorders>
              <w:top w:val="nil"/>
              <w:left w:val="nil"/>
              <w:bottom w:val="single" w:sz="4" w:space="0" w:color="auto"/>
              <w:right w:val="single" w:sz="4" w:space="0" w:color="auto"/>
            </w:tcBorders>
            <w:shd w:val="clear" w:color="000000" w:fill="F2F2F2"/>
            <w:vAlign w:val="center"/>
            <w:hideMark/>
          </w:tcPr>
          <w:p w14:paraId="47DA87D1" w14:textId="77777777" w:rsidR="00A12901" w:rsidRPr="00A12901" w:rsidRDefault="00A12901" w:rsidP="00A12901">
            <w:pPr>
              <w:spacing w:after="0" w:line="240" w:lineRule="auto"/>
              <w:jc w:val="center"/>
              <w:rPr>
                <w:rFonts w:ascii="Times New Roman" w:eastAsia="Times New Roman" w:hAnsi="Times New Roman" w:cs="Times New Roman"/>
                <w:b/>
                <w:bCs/>
                <w:color w:val="000000"/>
                <w:sz w:val="20"/>
                <w:szCs w:val="20"/>
                <w:lang w:eastAsia="hr-HR"/>
              </w:rPr>
            </w:pPr>
            <w:r w:rsidRPr="00A12901">
              <w:rPr>
                <w:rFonts w:ascii="Times New Roman" w:eastAsia="Times New Roman" w:hAnsi="Times New Roman" w:cs="Times New Roman"/>
                <w:b/>
                <w:bCs/>
                <w:color w:val="000000"/>
                <w:sz w:val="20"/>
                <w:szCs w:val="20"/>
                <w:lang w:eastAsia="hr-HR"/>
              </w:rPr>
              <w:t>100,00%</w:t>
            </w:r>
          </w:p>
        </w:tc>
        <w:tc>
          <w:tcPr>
            <w:tcW w:w="960" w:type="dxa"/>
            <w:tcBorders>
              <w:top w:val="nil"/>
              <w:left w:val="nil"/>
              <w:bottom w:val="single" w:sz="4" w:space="0" w:color="auto"/>
              <w:right w:val="single" w:sz="4" w:space="0" w:color="auto"/>
            </w:tcBorders>
            <w:shd w:val="clear" w:color="000000" w:fill="F2F2F2"/>
            <w:vAlign w:val="center"/>
            <w:hideMark/>
          </w:tcPr>
          <w:p w14:paraId="25992EF9" w14:textId="77777777" w:rsidR="00A12901" w:rsidRPr="00A12901" w:rsidRDefault="00A12901" w:rsidP="00A12901">
            <w:pPr>
              <w:spacing w:after="0" w:line="240" w:lineRule="auto"/>
              <w:jc w:val="center"/>
              <w:rPr>
                <w:rFonts w:ascii="Times New Roman" w:eastAsia="Times New Roman" w:hAnsi="Times New Roman" w:cs="Times New Roman"/>
                <w:b/>
                <w:bCs/>
                <w:color w:val="000000"/>
                <w:sz w:val="20"/>
                <w:szCs w:val="20"/>
                <w:lang w:eastAsia="hr-HR"/>
              </w:rPr>
            </w:pPr>
            <w:r w:rsidRPr="00A12901">
              <w:rPr>
                <w:rFonts w:ascii="Times New Roman" w:eastAsia="Times New Roman" w:hAnsi="Times New Roman" w:cs="Times New Roman"/>
                <w:b/>
                <w:bCs/>
                <w:color w:val="000000"/>
                <w:sz w:val="20"/>
                <w:szCs w:val="20"/>
                <w:lang w:eastAsia="hr-HR"/>
              </w:rPr>
              <w:t>244</w:t>
            </w:r>
          </w:p>
        </w:tc>
        <w:tc>
          <w:tcPr>
            <w:tcW w:w="960" w:type="dxa"/>
            <w:tcBorders>
              <w:top w:val="nil"/>
              <w:left w:val="nil"/>
              <w:bottom w:val="single" w:sz="4" w:space="0" w:color="auto"/>
              <w:right w:val="single" w:sz="4" w:space="0" w:color="auto"/>
            </w:tcBorders>
            <w:shd w:val="clear" w:color="000000" w:fill="F2F2F2"/>
            <w:vAlign w:val="center"/>
            <w:hideMark/>
          </w:tcPr>
          <w:p w14:paraId="00ABDC54" w14:textId="77777777" w:rsidR="00A12901" w:rsidRPr="00A12901" w:rsidRDefault="00A12901" w:rsidP="00A12901">
            <w:pPr>
              <w:spacing w:after="0" w:line="240" w:lineRule="auto"/>
              <w:jc w:val="center"/>
              <w:rPr>
                <w:rFonts w:ascii="Times New Roman" w:eastAsia="Times New Roman" w:hAnsi="Times New Roman" w:cs="Times New Roman"/>
                <w:b/>
                <w:bCs/>
                <w:color w:val="000000"/>
                <w:sz w:val="20"/>
                <w:szCs w:val="20"/>
                <w:lang w:eastAsia="hr-HR"/>
              </w:rPr>
            </w:pPr>
            <w:r w:rsidRPr="00A12901">
              <w:rPr>
                <w:rFonts w:ascii="Times New Roman" w:eastAsia="Times New Roman" w:hAnsi="Times New Roman" w:cs="Times New Roman"/>
                <w:b/>
                <w:bCs/>
                <w:color w:val="000000"/>
                <w:sz w:val="20"/>
                <w:szCs w:val="20"/>
                <w:lang w:eastAsia="hr-HR"/>
              </w:rPr>
              <w:t>100,00%</w:t>
            </w:r>
          </w:p>
        </w:tc>
      </w:tr>
    </w:tbl>
    <w:p w14:paraId="5440DAF6" w14:textId="429CFC24" w:rsidR="00375117" w:rsidRDefault="00A12901" w:rsidP="0071449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fldChar w:fldCharType="end"/>
      </w:r>
    </w:p>
    <w:p w14:paraId="0F8EC8B6" w14:textId="11351EC0" w:rsidR="00444697" w:rsidRDefault="00307D47" w:rsidP="00F93540">
      <w:pPr>
        <w:spacing w:after="0" w:line="240" w:lineRule="auto"/>
        <w:jc w:val="both"/>
        <w:rPr>
          <w:rFonts w:ascii="Times New Roman" w:eastAsia="Calibri" w:hAnsi="Times New Roman" w:cs="Times New Roman"/>
          <w:sz w:val="24"/>
          <w:szCs w:val="24"/>
          <w:lang w:eastAsia="hr-HR"/>
        </w:rPr>
      </w:pPr>
      <w:r w:rsidRPr="003F0F99">
        <w:rPr>
          <w:rFonts w:ascii="Times New Roman" w:eastAsia="Times New Roman" w:hAnsi="Times New Roman" w:cs="Times New Roman"/>
          <w:sz w:val="24"/>
          <w:szCs w:val="24"/>
          <w:lang w:eastAsia="hr-HR"/>
        </w:rPr>
        <w:t xml:space="preserve">U okviru dostavljenih </w:t>
      </w:r>
      <w:r>
        <w:rPr>
          <w:rFonts w:ascii="Times New Roman" w:eastAsia="Times New Roman" w:hAnsi="Times New Roman" w:cs="Times New Roman"/>
          <w:sz w:val="24"/>
          <w:szCs w:val="24"/>
          <w:lang w:eastAsia="hr-HR"/>
        </w:rPr>
        <w:t xml:space="preserve">operativnih analiza transakcija </w:t>
      </w:r>
      <w:r w:rsidRPr="006450D7">
        <w:rPr>
          <w:rFonts w:ascii="Times New Roman" w:eastAsia="Calibri" w:hAnsi="Times New Roman" w:cs="Times New Roman"/>
          <w:sz w:val="24"/>
          <w:szCs w:val="24"/>
          <w:lang w:eastAsia="hr-HR"/>
        </w:rPr>
        <w:t>(OpAT-a)</w:t>
      </w:r>
      <w:r>
        <w:rPr>
          <w:rFonts w:ascii="Times New Roman" w:eastAsia="Times New Roman" w:hAnsi="Times New Roman" w:cs="Times New Roman"/>
          <w:sz w:val="24"/>
          <w:szCs w:val="24"/>
          <w:lang w:eastAsia="hr-HR"/>
        </w:rPr>
        <w:t xml:space="preserve"> državnim tijelima</w:t>
      </w:r>
      <w:r w:rsidR="001402BC">
        <w:rPr>
          <w:rFonts w:ascii="Times New Roman" w:eastAsia="Times New Roman" w:hAnsi="Times New Roman" w:cs="Times New Roman"/>
          <w:sz w:val="24"/>
          <w:szCs w:val="24"/>
          <w:lang w:eastAsia="hr-HR"/>
        </w:rPr>
        <w:t>,</w:t>
      </w:r>
      <w:r w:rsidRPr="003F0F99">
        <w:rPr>
          <w:rFonts w:ascii="Times New Roman" w:eastAsia="Times New Roman" w:hAnsi="Times New Roman" w:cs="Times New Roman"/>
          <w:sz w:val="24"/>
          <w:szCs w:val="24"/>
          <w:lang w:eastAsia="hr-HR"/>
        </w:rPr>
        <w:t xml:space="preserve"> Ured je operativno analizirao </w:t>
      </w:r>
      <w:r>
        <w:rPr>
          <w:rFonts w:ascii="Times New Roman" w:eastAsia="Times New Roman" w:hAnsi="Times New Roman" w:cs="Times New Roman"/>
          <w:sz w:val="24"/>
          <w:szCs w:val="24"/>
          <w:lang w:eastAsia="hr-HR"/>
        </w:rPr>
        <w:t xml:space="preserve">3392 </w:t>
      </w:r>
      <w:r w:rsidRPr="00E41390">
        <w:rPr>
          <w:rFonts w:ascii="Times New Roman" w:eastAsia="Times New Roman" w:hAnsi="Times New Roman" w:cs="Times New Roman"/>
          <w:sz w:val="24"/>
          <w:szCs w:val="24"/>
          <w:lang w:eastAsia="hr-HR"/>
        </w:rPr>
        <w:t>sumnjivih transakcija povezanih s</w:t>
      </w:r>
      <w:r w:rsidRPr="003F0F99">
        <w:rPr>
          <w:rFonts w:ascii="Times New Roman" w:eastAsia="Times New Roman" w:hAnsi="Times New Roman" w:cs="Times New Roman"/>
          <w:color w:val="FF0000"/>
          <w:sz w:val="24"/>
          <w:szCs w:val="24"/>
          <w:lang w:eastAsia="hr-HR"/>
        </w:rPr>
        <w:t xml:space="preserve"> </w:t>
      </w:r>
      <w:r w:rsidRPr="00444697">
        <w:rPr>
          <w:rFonts w:ascii="Times New Roman" w:eastAsia="Times New Roman" w:hAnsi="Times New Roman" w:cs="Times New Roman"/>
          <w:sz w:val="24"/>
          <w:szCs w:val="24"/>
          <w:lang w:eastAsia="hr-HR"/>
        </w:rPr>
        <w:t xml:space="preserve">569 </w:t>
      </w:r>
      <w:r>
        <w:rPr>
          <w:rFonts w:ascii="Times New Roman" w:eastAsia="Times New Roman" w:hAnsi="Times New Roman" w:cs="Times New Roman"/>
          <w:sz w:val="24"/>
          <w:szCs w:val="24"/>
          <w:lang w:eastAsia="hr-HR"/>
        </w:rPr>
        <w:t xml:space="preserve">fizičkih i 394 pravnih osoba, </w:t>
      </w:r>
      <w:r w:rsidRPr="006450D7">
        <w:rPr>
          <w:rFonts w:ascii="Times New Roman" w:eastAsia="Calibri" w:hAnsi="Times New Roman" w:cs="Times New Roman"/>
          <w:sz w:val="24"/>
          <w:szCs w:val="24"/>
          <w:lang w:eastAsia="hr-HR"/>
        </w:rPr>
        <w:t>kako je prikazano u Tablici 1</w:t>
      </w:r>
      <w:r w:rsidR="006A72D3">
        <w:rPr>
          <w:rFonts w:ascii="Times New Roman" w:eastAsia="Calibri" w:hAnsi="Times New Roman" w:cs="Times New Roman"/>
          <w:sz w:val="24"/>
          <w:szCs w:val="24"/>
          <w:lang w:eastAsia="hr-HR"/>
        </w:rPr>
        <w:t>3</w:t>
      </w:r>
      <w:r w:rsidR="0019046F">
        <w:rPr>
          <w:rFonts w:ascii="Times New Roman" w:eastAsia="Calibri" w:hAnsi="Times New Roman" w:cs="Times New Roman"/>
          <w:sz w:val="24"/>
          <w:szCs w:val="24"/>
          <w:lang w:eastAsia="hr-HR"/>
        </w:rPr>
        <w:t>.</w:t>
      </w:r>
    </w:p>
    <w:p w14:paraId="0BE8A420" w14:textId="148092B3" w:rsidR="00307D47" w:rsidRDefault="00B90180" w:rsidP="004665E0">
      <w:pPr>
        <w:spacing w:after="0" w:line="240" w:lineRule="auto"/>
        <w:rPr>
          <w:rFonts w:ascii="Times New Roman" w:eastAsia="Times New Roman" w:hAnsi="Times New Roman" w:cs="Times New Roman"/>
          <w:sz w:val="24"/>
          <w:szCs w:val="24"/>
          <w:u w:val="single"/>
          <w:lang w:eastAsia="hr-HR"/>
        </w:rPr>
      </w:pPr>
      <w:r w:rsidRPr="00375117">
        <w:rPr>
          <w:rFonts w:ascii="Times New Roman" w:hAnsi="Times New Roman" w:cs="Times New Roman"/>
          <w:noProof/>
          <w:sz w:val="20"/>
          <w:szCs w:val="20"/>
          <w:lang w:eastAsia="hr-HR"/>
        </w:rPr>
        <w:drawing>
          <wp:inline distT="0" distB="0" distL="0" distR="0" wp14:anchorId="67C94E50" wp14:editId="513E5D66">
            <wp:extent cx="5731510" cy="2241618"/>
            <wp:effectExtent l="0" t="0" r="2540" b="635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241618"/>
                    </a:xfrm>
                    <a:prstGeom prst="rect">
                      <a:avLst/>
                    </a:prstGeom>
                    <a:noFill/>
                    <a:ln>
                      <a:noFill/>
                    </a:ln>
                  </pic:spPr>
                </pic:pic>
              </a:graphicData>
            </a:graphic>
          </wp:inline>
        </w:drawing>
      </w:r>
    </w:p>
    <w:p w14:paraId="39EDC194" w14:textId="77777777" w:rsidR="0085684C" w:rsidRDefault="0085684C" w:rsidP="0085684C">
      <w:pPr>
        <w:spacing w:after="0" w:line="240" w:lineRule="auto"/>
        <w:jc w:val="both"/>
        <w:rPr>
          <w:rFonts w:ascii="Times New Roman" w:eastAsia="Calibri" w:hAnsi="Times New Roman" w:cs="Times New Roman"/>
          <w:sz w:val="24"/>
          <w:szCs w:val="24"/>
        </w:rPr>
      </w:pPr>
    </w:p>
    <w:p w14:paraId="3138E585" w14:textId="6AEB9214" w:rsidR="00375117" w:rsidRDefault="002A6D88" w:rsidP="00375117">
      <w:pPr>
        <w:spacing w:after="0" w:line="240" w:lineRule="auto"/>
        <w:jc w:val="both"/>
        <w:rPr>
          <w:rFonts w:ascii="Times New Roman" w:eastAsia="Calibri" w:hAnsi="Times New Roman" w:cs="Times New Roman"/>
          <w:iCs/>
          <w:sz w:val="24"/>
          <w:szCs w:val="24"/>
        </w:rPr>
      </w:pPr>
      <w:r w:rsidRPr="004F20EC">
        <w:rPr>
          <w:rFonts w:ascii="Times New Roman" w:eastAsia="Calibri" w:hAnsi="Times New Roman" w:cs="Times New Roman"/>
          <w:iCs/>
          <w:sz w:val="24"/>
          <w:szCs w:val="24"/>
        </w:rPr>
        <w:t xml:space="preserve">U odnosu na državljanstvo sudionika fizičkih osoba u operativnim analizama sumnjivih transakcija (OpAT-ima) koje je Ured dostavio nadležnim tijelima na daljnje postupanje 80,84% odnosno 460 sudionika fizičkih osoba je iz Hrvatske a 19,16% odnosno 109 sudionika fizičkih osoba je iz stranih država. </w:t>
      </w:r>
    </w:p>
    <w:p w14:paraId="6A4FE9EC" w14:textId="77777777" w:rsidR="002118EE" w:rsidRDefault="002118EE" w:rsidP="00375117">
      <w:pPr>
        <w:spacing w:after="0" w:line="240" w:lineRule="auto"/>
        <w:jc w:val="both"/>
        <w:rPr>
          <w:rFonts w:ascii="Times New Roman" w:eastAsia="Calibri" w:hAnsi="Times New Roman" w:cs="Times New Roman"/>
          <w:iCs/>
          <w:sz w:val="24"/>
          <w:szCs w:val="24"/>
        </w:rPr>
      </w:pPr>
    </w:p>
    <w:p w14:paraId="693665F7" w14:textId="39509321" w:rsidR="002A6D88" w:rsidRDefault="001402BC" w:rsidP="00375117">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Grafikon</w:t>
      </w:r>
      <w:r w:rsidR="002A6D88" w:rsidRPr="004F20EC">
        <w:rPr>
          <w:rFonts w:ascii="Times New Roman" w:eastAsia="Calibri" w:hAnsi="Times New Roman" w:cs="Times New Roman"/>
          <w:iCs/>
          <w:sz w:val="24"/>
          <w:szCs w:val="24"/>
        </w:rPr>
        <w:t xml:space="preserve"> </w:t>
      </w:r>
      <w:r w:rsidR="0019046F">
        <w:rPr>
          <w:rFonts w:ascii="Times New Roman" w:eastAsia="Calibri" w:hAnsi="Times New Roman" w:cs="Times New Roman"/>
          <w:iCs/>
          <w:sz w:val="24"/>
          <w:szCs w:val="24"/>
        </w:rPr>
        <w:t>2</w:t>
      </w:r>
      <w:r w:rsidR="00375117">
        <w:rPr>
          <w:rFonts w:ascii="Times New Roman" w:eastAsia="Calibri" w:hAnsi="Times New Roman" w:cs="Times New Roman"/>
          <w:iCs/>
          <w:sz w:val="24"/>
          <w:szCs w:val="24"/>
        </w:rPr>
        <w:t>.</w:t>
      </w:r>
      <w:r w:rsidR="0019046F">
        <w:rPr>
          <w:rFonts w:ascii="Times New Roman" w:eastAsia="Calibri" w:hAnsi="Times New Roman" w:cs="Times New Roman"/>
          <w:iCs/>
          <w:sz w:val="24"/>
          <w:szCs w:val="24"/>
        </w:rPr>
        <w:t xml:space="preserve"> </w:t>
      </w:r>
      <w:r w:rsidR="002118EE">
        <w:rPr>
          <w:rFonts w:ascii="Times New Roman" w:eastAsia="Calibri" w:hAnsi="Times New Roman" w:cs="Times New Roman"/>
          <w:iCs/>
          <w:sz w:val="24"/>
          <w:szCs w:val="24"/>
        </w:rPr>
        <w:t>B</w:t>
      </w:r>
      <w:r w:rsidR="002A6D88" w:rsidRPr="004F20EC">
        <w:rPr>
          <w:rFonts w:ascii="Times New Roman" w:eastAsia="Calibri" w:hAnsi="Times New Roman" w:cs="Times New Roman"/>
          <w:iCs/>
          <w:sz w:val="24"/>
          <w:szCs w:val="24"/>
        </w:rPr>
        <w:t>roj sudionika (fizičkih osoba) u OpA</w:t>
      </w:r>
      <w:r w:rsidR="0019046F">
        <w:rPr>
          <w:rFonts w:ascii="Times New Roman" w:eastAsia="Calibri" w:hAnsi="Times New Roman" w:cs="Times New Roman"/>
          <w:iCs/>
          <w:sz w:val="24"/>
          <w:szCs w:val="24"/>
        </w:rPr>
        <w:t>T-ima prema državi prebivališta.</w:t>
      </w:r>
    </w:p>
    <w:p w14:paraId="309D0763" w14:textId="5E53CE57" w:rsidR="00D8777A" w:rsidRPr="00D8777A" w:rsidRDefault="00375117" w:rsidP="004665E0">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noProof/>
          <w:sz w:val="24"/>
          <w:szCs w:val="24"/>
          <w:lang w:eastAsia="hr-HR"/>
        </w:rPr>
        <w:drawing>
          <wp:inline distT="0" distB="0" distL="0" distR="0" wp14:anchorId="50D1F016" wp14:editId="21FB8D79">
            <wp:extent cx="5076825" cy="2430780"/>
            <wp:effectExtent l="0" t="0" r="9525" b="762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02884" cy="2443257"/>
                    </a:xfrm>
                    <a:prstGeom prst="rect">
                      <a:avLst/>
                    </a:prstGeom>
                    <a:noFill/>
                  </pic:spPr>
                </pic:pic>
              </a:graphicData>
            </a:graphic>
          </wp:inline>
        </w:drawing>
      </w:r>
    </w:p>
    <w:p w14:paraId="133128D3" w14:textId="77777777" w:rsidR="00D8777A" w:rsidRDefault="00D8777A" w:rsidP="004665E0">
      <w:pPr>
        <w:spacing w:after="0" w:line="240" w:lineRule="auto"/>
        <w:rPr>
          <w:rFonts w:ascii="Times New Roman" w:eastAsia="Times New Roman" w:hAnsi="Times New Roman" w:cs="Times New Roman"/>
          <w:sz w:val="24"/>
          <w:szCs w:val="24"/>
          <w:highlight w:val="cyan"/>
        </w:rPr>
      </w:pPr>
    </w:p>
    <w:p w14:paraId="5FF7E18B" w14:textId="56BFDD25" w:rsidR="002A6D88" w:rsidRPr="004F20EC" w:rsidRDefault="002A6D88" w:rsidP="002A6D88">
      <w:pPr>
        <w:spacing w:after="0" w:line="240" w:lineRule="auto"/>
        <w:jc w:val="both"/>
        <w:rPr>
          <w:rFonts w:ascii="Times New Roman" w:eastAsia="Calibri" w:hAnsi="Times New Roman" w:cs="Times New Roman"/>
          <w:iCs/>
          <w:sz w:val="24"/>
          <w:szCs w:val="24"/>
        </w:rPr>
      </w:pPr>
      <w:r w:rsidRPr="004F20EC">
        <w:rPr>
          <w:rFonts w:ascii="Times New Roman" w:eastAsia="Calibri" w:hAnsi="Times New Roman" w:cs="Times New Roman"/>
          <w:iCs/>
          <w:sz w:val="24"/>
          <w:szCs w:val="24"/>
        </w:rPr>
        <w:lastRenderedPageBreak/>
        <w:t>U odnosu na državu sjedišta sudionika pravne osobe u operativnim analizama sumnjivih transakcija (OpAT-ima) koje je Ured dostavio nadležnim tijelima na daljnje postupanje</w:t>
      </w:r>
      <w:r w:rsidR="00A12F52">
        <w:rPr>
          <w:rFonts w:ascii="Times New Roman" w:eastAsia="Calibri" w:hAnsi="Times New Roman" w:cs="Times New Roman"/>
          <w:iCs/>
          <w:sz w:val="24"/>
          <w:szCs w:val="24"/>
        </w:rPr>
        <w:t>, 88,32%</w:t>
      </w:r>
      <w:r w:rsidRPr="004F20EC">
        <w:rPr>
          <w:rFonts w:ascii="Times New Roman" w:eastAsia="Calibri" w:hAnsi="Times New Roman" w:cs="Times New Roman"/>
          <w:iCs/>
          <w:sz w:val="24"/>
          <w:szCs w:val="24"/>
        </w:rPr>
        <w:t xml:space="preserve"> odnosno 348 sudionika pravnih osoba je iz Hrvatske, a 11,68% odnosno 46 sudionika pravnih osoba je iz stranih država. </w:t>
      </w:r>
    </w:p>
    <w:p w14:paraId="345320F6" w14:textId="77777777" w:rsidR="00F93540" w:rsidRDefault="00F93540" w:rsidP="004665E0">
      <w:pPr>
        <w:spacing w:after="0" w:line="240" w:lineRule="auto"/>
        <w:rPr>
          <w:rFonts w:ascii="Times New Roman" w:eastAsia="Times New Roman" w:hAnsi="Times New Roman" w:cs="Times New Roman"/>
          <w:sz w:val="24"/>
          <w:szCs w:val="24"/>
        </w:rPr>
      </w:pPr>
    </w:p>
    <w:p w14:paraId="74244A51" w14:textId="2D6ED2F2" w:rsidR="004665E0" w:rsidRDefault="002A6D88" w:rsidP="002C4AF9">
      <w:pPr>
        <w:spacing w:after="0" w:line="240" w:lineRule="auto"/>
        <w:jc w:val="both"/>
        <w:rPr>
          <w:rFonts w:ascii="Times New Roman" w:eastAsia="Times New Roman" w:hAnsi="Times New Roman" w:cs="Times New Roman"/>
          <w:sz w:val="24"/>
          <w:szCs w:val="24"/>
        </w:rPr>
      </w:pPr>
      <w:r w:rsidRPr="004F20EC">
        <w:rPr>
          <w:rFonts w:ascii="Times New Roman" w:eastAsia="Times New Roman" w:hAnsi="Times New Roman" w:cs="Times New Roman"/>
          <w:sz w:val="24"/>
          <w:szCs w:val="24"/>
        </w:rPr>
        <w:t>U Grafikonu</w:t>
      </w:r>
      <w:r w:rsidR="0019046F">
        <w:rPr>
          <w:rFonts w:ascii="Times New Roman" w:eastAsia="Times New Roman" w:hAnsi="Times New Roman" w:cs="Times New Roman"/>
          <w:sz w:val="24"/>
          <w:szCs w:val="24"/>
        </w:rPr>
        <w:t xml:space="preserve"> 3.</w:t>
      </w:r>
      <w:r w:rsidRPr="004F20EC">
        <w:rPr>
          <w:rFonts w:ascii="Times New Roman" w:eastAsia="Times New Roman" w:hAnsi="Times New Roman" w:cs="Times New Roman"/>
          <w:sz w:val="24"/>
          <w:szCs w:val="24"/>
        </w:rPr>
        <w:t xml:space="preserve"> je prikazan broj sudionika ( pravnih osoba) u OpAT-ima prema državi sjedišta.</w:t>
      </w:r>
    </w:p>
    <w:p w14:paraId="0F9F601D" w14:textId="77777777" w:rsidR="002118EE" w:rsidRDefault="002118EE" w:rsidP="002C4AF9">
      <w:pPr>
        <w:spacing w:after="0" w:line="240" w:lineRule="auto"/>
        <w:jc w:val="both"/>
        <w:rPr>
          <w:rFonts w:ascii="Times New Roman" w:eastAsia="Times New Roman" w:hAnsi="Times New Roman" w:cs="Times New Roman"/>
          <w:sz w:val="24"/>
          <w:szCs w:val="24"/>
        </w:rPr>
      </w:pPr>
    </w:p>
    <w:p w14:paraId="2FF54992" w14:textId="71F16D11" w:rsidR="004665E0" w:rsidRPr="00375117" w:rsidRDefault="00375117" w:rsidP="00375117">
      <w:pPr>
        <w:spacing w:after="0" w:line="240" w:lineRule="auto"/>
        <w:rPr>
          <w:rFonts w:ascii="Times New Roman" w:eastAsia="Times New Roman" w:hAnsi="Times New Roman" w:cs="Times New Roman"/>
          <w:b/>
          <w:sz w:val="24"/>
          <w:szCs w:val="24"/>
          <w:highlight w:val="cyan"/>
        </w:rPr>
      </w:pPr>
      <w:r>
        <w:rPr>
          <w:rFonts w:ascii="Times New Roman" w:eastAsia="Times New Roman" w:hAnsi="Times New Roman" w:cs="Times New Roman"/>
          <w:b/>
          <w:noProof/>
          <w:sz w:val="24"/>
          <w:szCs w:val="24"/>
          <w:highlight w:val="cyan"/>
          <w:lang w:eastAsia="hr-HR"/>
        </w:rPr>
        <w:drawing>
          <wp:inline distT="0" distB="0" distL="0" distR="0" wp14:anchorId="591A074D" wp14:editId="12E371AA">
            <wp:extent cx="5743367" cy="3221192"/>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70697" cy="3236520"/>
                    </a:xfrm>
                    <a:prstGeom prst="rect">
                      <a:avLst/>
                    </a:prstGeom>
                    <a:noFill/>
                  </pic:spPr>
                </pic:pic>
              </a:graphicData>
            </a:graphic>
          </wp:inline>
        </w:drawing>
      </w:r>
    </w:p>
    <w:p w14:paraId="342D504B" w14:textId="39AB1ADE" w:rsidR="00BC4FED" w:rsidRDefault="00BC4FED" w:rsidP="004665E0">
      <w:pPr>
        <w:spacing w:after="0" w:line="240" w:lineRule="auto"/>
        <w:jc w:val="both"/>
        <w:rPr>
          <w:rFonts w:ascii="Times New Roman" w:eastAsia="Calibri" w:hAnsi="Times New Roman" w:cs="Times New Roman"/>
          <w:sz w:val="24"/>
          <w:szCs w:val="24"/>
        </w:rPr>
      </w:pPr>
    </w:p>
    <w:p w14:paraId="74329116" w14:textId="0DB5D75D" w:rsidR="00BC4FED" w:rsidRDefault="00BC4FED" w:rsidP="004665E0">
      <w:pPr>
        <w:spacing w:after="0" w:line="240" w:lineRule="auto"/>
        <w:jc w:val="both"/>
        <w:rPr>
          <w:rFonts w:ascii="Times New Roman" w:eastAsia="Calibri" w:hAnsi="Times New Roman" w:cs="Times New Roman"/>
          <w:sz w:val="24"/>
          <w:szCs w:val="24"/>
        </w:rPr>
      </w:pPr>
    </w:p>
    <w:p w14:paraId="22C8BCA3" w14:textId="77777777" w:rsidR="00375117" w:rsidRDefault="00375117" w:rsidP="004665E0">
      <w:pPr>
        <w:widowControl w:val="0"/>
        <w:autoSpaceDE w:val="0"/>
        <w:autoSpaceDN w:val="0"/>
        <w:adjustRightInd w:val="0"/>
        <w:spacing w:after="0" w:line="240" w:lineRule="auto"/>
        <w:jc w:val="both"/>
        <w:rPr>
          <w:rFonts w:ascii="Times New Roman" w:eastAsia="Calibri" w:hAnsi="Times New Roman" w:cs="Times New Roman"/>
          <w:b/>
          <w:sz w:val="24"/>
          <w:szCs w:val="24"/>
        </w:rPr>
      </w:pPr>
    </w:p>
    <w:p w14:paraId="76A66FFC" w14:textId="5387FB83" w:rsidR="0085684C" w:rsidRPr="0085684C" w:rsidRDefault="0085684C" w:rsidP="004665E0">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85684C">
        <w:rPr>
          <w:rFonts w:ascii="Times New Roman" w:eastAsia="Calibri" w:hAnsi="Times New Roman" w:cs="Times New Roman"/>
          <w:b/>
          <w:sz w:val="24"/>
          <w:szCs w:val="24"/>
        </w:rPr>
        <w:t xml:space="preserve">Aktivnosti Ureda u suzbijanju financiranja terorizma u 2022. </w:t>
      </w:r>
    </w:p>
    <w:p w14:paraId="3A110EAA" w14:textId="77777777" w:rsidR="00375117" w:rsidRDefault="00375117" w:rsidP="004665E0">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5F91310B" w14:textId="4153CA54" w:rsidR="004665E0" w:rsidRPr="004665E0" w:rsidRDefault="00A12F52" w:rsidP="004665E0">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w:t>
      </w:r>
      <w:r w:rsidR="004665E0" w:rsidRPr="004665E0">
        <w:rPr>
          <w:rFonts w:ascii="Times New Roman" w:eastAsia="Calibri" w:hAnsi="Times New Roman" w:cs="Times New Roman"/>
          <w:sz w:val="24"/>
          <w:szCs w:val="24"/>
        </w:rPr>
        <w:t xml:space="preserve"> cilju suzbijanja financiranja terorizma, Ured poduzima aktivnosti</w:t>
      </w:r>
      <w:r>
        <w:rPr>
          <w:rFonts w:ascii="Times New Roman" w:eastAsia="Calibri" w:hAnsi="Times New Roman" w:cs="Times New Roman"/>
          <w:sz w:val="24"/>
          <w:szCs w:val="24"/>
        </w:rPr>
        <w:t xml:space="preserve"> vezane za</w:t>
      </w:r>
      <w:r w:rsidR="004665E0" w:rsidRPr="004665E0">
        <w:rPr>
          <w:rFonts w:ascii="Times New Roman" w:eastAsia="Calibri" w:hAnsi="Times New Roman" w:cs="Times New Roman"/>
          <w:sz w:val="24"/>
          <w:szCs w:val="24"/>
        </w:rPr>
        <w:t>:</w:t>
      </w:r>
    </w:p>
    <w:p w14:paraId="60136389" w14:textId="25A9BDDF" w:rsidR="004665E0" w:rsidRPr="004665E0" w:rsidRDefault="00A12F52" w:rsidP="00BD4933">
      <w:pPr>
        <w:numPr>
          <w:ilvl w:val="0"/>
          <w:numId w:val="5"/>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provjeru </w:t>
      </w:r>
      <w:r w:rsidR="004665E0" w:rsidRPr="004665E0">
        <w:rPr>
          <w:rFonts w:ascii="Times New Roman" w:eastAsia="Times New Roman" w:hAnsi="Times New Roman" w:cs="Times New Roman"/>
          <w:sz w:val="24"/>
          <w:szCs w:val="24"/>
          <w:lang w:eastAsia="hr-HR"/>
        </w:rPr>
        <w:t>podataka o transakcijama evidentiranih u bazama Ureda, a koje je Ured zaprimio od banaka i drugih obveznika, te provjeru podataka o transakcijama kod banaka koje posluju u RH</w:t>
      </w:r>
    </w:p>
    <w:p w14:paraId="62DE783A" w14:textId="2CA0A799" w:rsidR="004665E0" w:rsidRPr="004665E0" w:rsidRDefault="004665E0" w:rsidP="00BD4933">
      <w:pPr>
        <w:numPr>
          <w:ilvl w:val="0"/>
          <w:numId w:val="5"/>
        </w:numPr>
        <w:spacing w:after="0" w:line="240" w:lineRule="auto"/>
        <w:jc w:val="both"/>
        <w:rPr>
          <w:rFonts w:ascii="Times New Roman" w:eastAsia="Times New Roman" w:hAnsi="Times New Roman" w:cs="Times New Roman"/>
          <w:sz w:val="24"/>
          <w:szCs w:val="24"/>
          <w:lang w:eastAsia="hr-HR"/>
        </w:rPr>
      </w:pPr>
      <w:r w:rsidRPr="004665E0">
        <w:rPr>
          <w:rFonts w:ascii="Times New Roman" w:eastAsia="Times New Roman" w:hAnsi="Times New Roman" w:cs="Times New Roman"/>
          <w:sz w:val="24"/>
          <w:szCs w:val="24"/>
          <w:lang w:eastAsia="hr-HR"/>
        </w:rPr>
        <w:t>unaprjeđenj</w:t>
      </w:r>
      <w:r w:rsidR="00A12F52">
        <w:rPr>
          <w:rFonts w:ascii="Times New Roman" w:eastAsia="Times New Roman" w:hAnsi="Times New Roman" w:cs="Times New Roman"/>
          <w:sz w:val="24"/>
          <w:szCs w:val="24"/>
          <w:lang w:eastAsia="hr-HR"/>
        </w:rPr>
        <w:t>e</w:t>
      </w:r>
      <w:r w:rsidRPr="004665E0">
        <w:rPr>
          <w:rFonts w:ascii="Times New Roman" w:eastAsia="Times New Roman" w:hAnsi="Times New Roman" w:cs="Times New Roman"/>
          <w:sz w:val="24"/>
          <w:szCs w:val="24"/>
          <w:lang w:eastAsia="hr-HR"/>
        </w:rPr>
        <w:t xml:space="preserve"> međunarodne suradnje.</w:t>
      </w:r>
    </w:p>
    <w:p w14:paraId="0BB733C6" w14:textId="77777777" w:rsidR="004665E0" w:rsidRPr="004665E0" w:rsidRDefault="004665E0" w:rsidP="004665E0">
      <w:pPr>
        <w:widowControl w:val="0"/>
        <w:autoSpaceDE w:val="0"/>
        <w:autoSpaceDN w:val="0"/>
        <w:adjustRightInd w:val="0"/>
        <w:spacing w:after="0" w:line="240" w:lineRule="auto"/>
        <w:ind w:firstLine="349"/>
        <w:jc w:val="both"/>
        <w:rPr>
          <w:rFonts w:ascii="Times New Roman" w:eastAsia="Calibri" w:hAnsi="Times New Roman" w:cs="Times New Roman"/>
          <w:sz w:val="24"/>
          <w:szCs w:val="24"/>
        </w:rPr>
      </w:pPr>
    </w:p>
    <w:p w14:paraId="0E49D939" w14:textId="3FDF54E6" w:rsidR="003C1E1A" w:rsidRPr="003C1E1A" w:rsidRDefault="00E205F1" w:rsidP="00A12F52">
      <w:pPr>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noProof/>
          <w:sz w:val="24"/>
          <w:szCs w:val="24"/>
          <w:lang w:eastAsia="hr-HR"/>
        </w:rPr>
        <w:t>Po dovršenoj analitičkoj-</w:t>
      </w:r>
      <w:r w:rsidR="003C1E1A" w:rsidRPr="003C1E1A">
        <w:rPr>
          <w:rFonts w:ascii="Times New Roman" w:eastAsia="Calibri" w:hAnsi="Times New Roman" w:cs="Times New Roman"/>
          <w:noProof/>
          <w:sz w:val="24"/>
          <w:szCs w:val="24"/>
          <w:lang w:eastAsia="hr-HR"/>
        </w:rPr>
        <w:t>obavještajnoj obradi, Ured je u 2022. nadležnim tijelima na daljnje postupanje i procesuiranje dostavio 6 operativnih analiza sumnjivih transakcija na sumnju na financiranje terorizma.</w:t>
      </w:r>
    </w:p>
    <w:p w14:paraId="421F0C37" w14:textId="77777777" w:rsidR="004665E0" w:rsidRPr="004665E0" w:rsidRDefault="004665E0" w:rsidP="004665E0">
      <w:pPr>
        <w:widowControl w:val="0"/>
        <w:autoSpaceDE w:val="0"/>
        <w:autoSpaceDN w:val="0"/>
        <w:adjustRightInd w:val="0"/>
        <w:spacing w:after="0" w:line="240" w:lineRule="auto"/>
        <w:ind w:firstLine="349"/>
        <w:jc w:val="both"/>
        <w:rPr>
          <w:rFonts w:ascii="Times New Roman" w:eastAsia="Calibri" w:hAnsi="Times New Roman" w:cs="Times New Roman"/>
          <w:b/>
          <w:sz w:val="24"/>
          <w:szCs w:val="24"/>
        </w:rPr>
      </w:pPr>
    </w:p>
    <w:p w14:paraId="3C246FC6" w14:textId="7664241F" w:rsidR="004665E0" w:rsidRPr="004665E0" w:rsidRDefault="004665E0" w:rsidP="004665E0">
      <w:pPr>
        <w:spacing w:before="60" w:after="0" w:line="240" w:lineRule="auto"/>
        <w:jc w:val="both"/>
        <w:textAlignment w:val="baseline"/>
        <w:rPr>
          <w:rFonts w:ascii="Times New Roman" w:eastAsia="Times New Roman" w:hAnsi="Times New Roman" w:cs="Times New Roman"/>
          <w:sz w:val="24"/>
          <w:szCs w:val="24"/>
          <w:lang w:eastAsia="en-GB"/>
        </w:rPr>
      </w:pPr>
      <w:r w:rsidRPr="004665E0">
        <w:rPr>
          <w:rFonts w:ascii="Times New Roman" w:eastAsia="Times New Roman" w:hAnsi="Times New Roman" w:cs="Times New Roman"/>
          <w:sz w:val="24"/>
          <w:szCs w:val="24"/>
          <w:lang w:eastAsia="en-GB"/>
        </w:rPr>
        <w:t>Suk</w:t>
      </w:r>
      <w:r w:rsidR="00E205F1">
        <w:rPr>
          <w:rFonts w:ascii="Times New Roman" w:eastAsia="Times New Roman" w:hAnsi="Times New Roman" w:cs="Times New Roman"/>
          <w:sz w:val="24"/>
          <w:szCs w:val="24"/>
          <w:lang w:eastAsia="en-GB"/>
        </w:rPr>
        <w:t>ladno odredbama Zakona obveznik</w:t>
      </w:r>
      <w:r w:rsidRPr="004665E0">
        <w:rPr>
          <w:rFonts w:ascii="Times New Roman" w:eastAsia="Times New Roman" w:hAnsi="Times New Roman" w:cs="Times New Roman"/>
          <w:sz w:val="24"/>
          <w:szCs w:val="24"/>
          <w:lang w:eastAsia="en-GB"/>
        </w:rPr>
        <w:t xml:space="preserve"> (banke i dr.) </w:t>
      </w:r>
      <w:r w:rsidR="00E205F1">
        <w:rPr>
          <w:rFonts w:ascii="Times New Roman" w:eastAsia="Times New Roman" w:hAnsi="Times New Roman" w:cs="Times New Roman"/>
          <w:sz w:val="24"/>
          <w:szCs w:val="24"/>
          <w:lang w:eastAsia="en-GB"/>
        </w:rPr>
        <w:t xml:space="preserve"> je dužan </w:t>
      </w:r>
      <w:r w:rsidRPr="004665E0">
        <w:rPr>
          <w:rFonts w:ascii="Times New Roman" w:eastAsia="Times New Roman" w:hAnsi="Times New Roman" w:cs="Times New Roman"/>
          <w:sz w:val="24"/>
          <w:szCs w:val="24"/>
          <w:lang w:eastAsia="en-GB"/>
        </w:rPr>
        <w:t xml:space="preserve">bez odgode obavijestiti Ured kada zna, sumnja ili ima razloga sumnjati da u vezi sa sumnjivom transakcijom postoje razlozi za sumnju na financiranje terorizma. </w:t>
      </w:r>
    </w:p>
    <w:p w14:paraId="16D8DF6F" w14:textId="77777777" w:rsidR="002118EE" w:rsidRDefault="004665E0" w:rsidP="004665E0">
      <w:pPr>
        <w:spacing w:after="0" w:line="240" w:lineRule="auto"/>
        <w:jc w:val="both"/>
        <w:rPr>
          <w:rFonts w:ascii="Times New Roman" w:eastAsia="Calibri" w:hAnsi="Times New Roman" w:cs="Times New Roman"/>
          <w:sz w:val="24"/>
          <w:szCs w:val="24"/>
        </w:rPr>
      </w:pPr>
      <w:r w:rsidRPr="004665E0">
        <w:rPr>
          <w:rFonts w:ascii="Times New Roman" w:eastAsia="Calibri" w:hAnsi="Times New Roman" w:cs="Times New Roman"/>
          <w:sz w:val="24"/>
          <w:szCs w:val="24"/>
        </w:rPr>
        <w:t>Članak 3. stavak 3. Zakona definira financiranje terorizma kao „osiguravanje ili prikupljanje sredstava, odnosno pokušaj osiguravanja ili prikupljanja sredstava, zakonitih ili nezakonitih, na bilo koji način, izravno ili neizravno, s namjerom da se upotrijebe ili sa znanjem da će biti upotrijebljena, u cijelosti ili dijelom, od strane terorista ili terorističke organizacije u bilo koju svrhu, što uključuje i počinjenje terorističkoga kaznenog djela, ili od strane osoba koje financiraju terorizam.“</w:t>
      </w:r>
    </w:p>
    <w:p w14:paraId="195CA3C1" w14:textId="6E38DF3B" w:rsidR="004665E0" w:rsidRPr="004665E0" w:rsidRDefault="004665E0" w:rsidP="004665E0">
      <w:pPr>
        <w:spacing w:after="0" w:line="240" w:lineRule="auto"/>
        <w:jc w:val="both"/>
        <w:rPr>
          <w:rFonts w:ascii="Times New Roman" w:eastAsia="Calibri" w:hAnsi="Times New Roman" w:cs="Times New Roman"/>
          <w:sz w:val="24"/>
          <w:szCs w:val="24"/>
        </w:rPr>
      </w:pPr>
      <w:r w:rsidRPr="004665E0">
        <w:rPr>
          <w:rFonts w:ascii="Times New Roman" w:eastAsia="Calibri" w:hAnsi="Times New Roman" w:cs="Times New Roman"/>
          <w:sz w:val="24"/>
          <w:szCs w:val="24"/>
        </w:rPr>
        <w:lastRenderedPageBreak/>
        <w:t>Obavijesti o sumnjivim transakcijama sa sumnjom na financiranje terorizma u najvećem broju odnose se na prijave od strane bankarskog sektora. Kod takvih prijava u velikom broju slučajeva riječ je o doznakama iz zemalja koje su zahvaćene ratnim zbivanjima i kao takve nemaju adekvatne preventivne mjere na području borbe protiv pranja novca i financiranja terorizma, kao i o obavijestima koje se odnose na transakcije pravnih ili fizičkih osoba za koje postoji sumnja da bi mogle biti povezane s terorističkim organizacijama (razlozi za prijavu su uglavnom geografsko porijeklo klijenata).</w:t>
      </w:r>
    </w:p>
    <w:p w14:paraId="1202ED38" w14:textId="77777777" w:rsidR="004665E0" w:rsidRPr="004665E0" w:rsidRDefault="004665E0" w:rsidP="004665E0">
      <w:pPr>
        <w:autoSpaceDE w:val="0"/>
        <w:autoSpaceDN w:val="0"/>
        <w:adjustRightInd w:val="0"/>
        <w:spacing w:after="0" w:line="240" w:lineRule="auto"/>
        <w:jc w:val="both"/>
        <w:rPr>
          <w:rFonts w:ascii="Times New Roman" w:eastAsia="Calibri" w:hAnsi="Times New Roman" w:cs="Times New Roman"/>
          <w:sz w:val="24"/>
          <w:szCs w:val="24"/>
        </w:rPr>
      </w:pPr>
    </w:p>
    <w:p w14:paraId="15534979" w14:textId="06B742AF" w:rsidR="004665E0" w:rsidRPr="004665E0" w:rsidRDefault="004665E0" w:rsidP="004665E0">
      <w:pPr>
        <w:autoSpaceDE w:val="0"/>
        <w:autoSpaceDN w:val="0"/>
        <w:adjustRightInd w:val="0"/>
        <w:spacing w:after="0" w:line="240" w:lineRule="auto"/>
        <w:jc w:val="both"/>
        <w:rPr>
          <w:rFonts w:ascii="Times New Roman" w:eastAsia="Calibri" w:hAnsi="Times New Roman" w:cs="Times New Roman"/>
          <w:sz w:val="24"/>
          <w:szCs w:val="24"/>
        </w:rPr>
      </w:pPr>
      <w:r w:rsidRPr="004665E0">
        <w:rPr>
          <w:rFonts w:ascii="Times New Roman" w:eastAsia="Calibri" w:hAnsi="Times New Roman" w:cs="Times New Roman"/>
          <w:sz w:val="24"/>
          <w:szCs w:val="24"/>
        </w:rPr>
        <w:t>Nakon zaprimanja obavijesti sa sumnjom na moguće financiranje terorizma, Ured na temelju prikupljenih informacija provodi analitičku obradu, te takve slučajeve prosljeđuje drugim državnim ti</w:t>
      </w:r>
      <w:r w:rsidR="002B6BD8">
        <w:rPr>
          <w:rFonts w:ascii="Times New Roman" w:eastAsia="Calibri" w:hAnsi="Times New Roman" w:cs="Times New Roman"/>
          <w:sz w:val="24"/>
          <w:szCs w:val="24"/>
        </w:rPr>
        <w:t>jelima na nadležno postupanje (</w:t>
      </w:r>
      <w:r w:rsidRPr="004665E0">
        <w:rPr>
          <w:rFonts w:ascii="Times New Roman" w:eastAsia="Calibri" w:hAnsi="Times New Roman" w:cs="Times New Roman"/>
          <w:sz w:val="24"/>
          <w:szCs w:val="24"/>
        </w:rPr>
        <w:t xml:space="preserve">SOA, MUP). </w:t>
      </w:r>
    </w:p>
    <w:p w14:paraId="37366F6A" w14:textId="77777777" w:rsidR="004665E0" w:rsidRPr="004665E0" w:rsidRDefault="004665E0" w:rsidP="00771D56">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3E5D01C9" w14:textId="1BE923C7" w:rsidR="004665E0" w:rsidRPr="004665E0" w:rsidRDefault="00A12F52" w:rsidP="004665E0">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4665E0" w:rsidRPr="004665E0">
        <w:rPr>
          <w:rFonts w:ascii="Times New Roman" w:eastAsia="Calibri" w:hAnsi="Times New Roman" w:cs="Times New Roman"/>
          <w:sz w:val="24"/>
          <w:szCs w:val="24"/>
        </w:rPr>
        <w:t>rema podatcima nadležnih tijela u proslijeđenim slučajevima nisu utvrđene poveznice s financiranjem terorizma ili konkretnim terorističkim aktima.</w:t>
      </w:r>
    </w:p>
    <w:p w14:paraId="111A526A" w14:textId="77777777" w:rsidR="004665E0" w:rsidRPr="004665E0" w:rsidRDefault="004665E0" w:rsidP="00771D56">
      <w:pPr>
        <w:spacing w:after="0" w:line="240" w:lineRule="auto"/>
        <w:jc w:val="both"/>
        <w:rPr>
          <w:rFonts w:ascii="Times New Roman" w:eastAsia="Times New Roman" w:hAnsi="Times New Roman" w:cs="Times New Roman"/>
          <w:sz w:val="24"/>
          <w:szCs w:val="24"/>
          <w:lang w:eastAsia="hr-HR"/>
        </w:rPr>
      </w:pPr>
    </w:p>
    <w:p w14:paraId="39D8708B" w14:textId="6F776CD9" w:rsidR="004665E0" w:rsidRDefault="004665E0" w:rsidP="00D80C7C">
      <w:pPr>
        <w:spacing w:after="0" w:line="240" w:lineRule="auto"/>
        <w:jc w:val="both"/>
        <w:rPr>
          <w:rFonts w:ascii="Times New Roman" w:eastAsia="Times New Roman" w:hAnsi="Times New Roman" w:cs="Times New Roman"/>
          <w:sz w:val="24"/>
          <w:szCs w:val="24"/>
          <w:lang w:eastAsia="hr-HR"/>
        </w:rPr>
      </w:pPr>
      <w:r w:rsidRPr="004665E0">
        <w:rPr>
          <w:rFonts w:ascii="Times New Roman" w:eastAsia="Times New Roman" w:hAnsi="Times New Roman" w:cs="Times New Roman"/>
          <w:sz w:val="24"/>
          <w:szCs w:val="24"/>
          <w:lang w:eastAsia="hr-HR"/>
        </w:rPr>
        <w:t xml:space="preserve">U svrhu jačanja borbe protiv financiranja terorizma te učinkovitoga djelovanja svih dionika sustava, na snazi je </w:t>
      </w:r>
      <w:r w:rsidRPr="004665E0">
        <w:rPr>
          <w:rFonts w:ascii="Times New Roman" w:eastAsia="Times New Roman" w:hAnsi="Times New Roman" w:cs="Times New Roman"/>
          <w:i/>
          <w:sz w:val="24"/>
          <w:szCs w:val="24"/>
          <w:lang w:eastAsia="hr-HR"/>
        </w:rPr>
        <w:t>Smjernica u postupanju obveznika na području borbe protiv financiranja terorizma</w:t>
      </w:r>
      <w:r w:rsidRPr="004665E0">
        <w:rPr>
          <w:rFonts w:ascii="Times New Roman" w:eastAsia="Times New Roman" w:hAnsi="Times New Roman" w:cs="Times New Roman"/>
          <w:sz w:val="24"/>
          <w:szCs w:val="24"/>
          <w:lang w:eastAsia="hr-HR"/>
        </w:rPr>
        <w:t xml:space="preserve"> koju je Ured izdao kreditnim institucijama i drugim obveznicima. Sadržaj Smjernice odnosi se na izloženost rizika financiranja terorizama te su obveznici </w:t>
      </w:r>
      <w:r w:rsidR="00A12F52">
        <w:rPr>
          <w:rFonts w:ascii="Times New Roman" w:eastAsia="Times New Roman" w:hAnsi="Times New Roman" w:cs="Times New Roman"/>
          <w:sz w:val="24"/>
          <w:szCs w:val="24"/>
          <w:lang w:eastAsia="hr-HR"/>
        </w:rPr>
        <w:t>upućeni</w:t>
      </w:r>
      <w:r w:rsidRPr="004665E0">
        <w:rPr>
          <w:rFonts w:ascii="Times New Roman" w:eastAsia="Times New Roman" w:hAnsi="Times New Roman" w:cs="Times New Roman"/>
          <w:sz w:val="24"/>
          <w:szCs w:val="24"/>
          <w:lang w:eastAsia="hr-HR"/>
        </w:rPr>
        <w:t xml:space="preserve"> da prilikom uspostave poslovnog odnosa sa strankom fizičkim ili pravnim osobama, izvrše provjeru je li se ista nalazi na sankcijskim listama UN. </w:t>
      </w:r>
      <w:r w:rsidR="00A12F52">
        <w:rPr>
          <w:rFonts w:ascii="Times New Roman" w:eastAsia="Times New Roman" w:hAnsi="Times New Roman" w:cs="Times New Roman"/>
          <w:sz w:val="24"/>
          <w:szCs w:val="24"/>
          <w:lang w:eastAsia="hr-HR"/>
        </w:rPr>
        <w:t>B</w:t>
      </w:r>
      <w:r w:rsidRPr="004665E0">
        <w:rPr>
          <w:rFonts w:ascii="Times New Roman" w:eastAsia="Times New Roman" w:hAnsi="Times New Roman" w:cs="Times New Roman"/>
          <w:sz w:val="24"/>
          <w:szCs w:val="24"/>
          <w:lang w:eastAsia="hr-HR"/>
        </w:rPr>
        <w:t xml:space="preserve">ankama je naložena obveza trajnog praćenja svih promjena na Konsolidiranoj listi UN, što uključuje provjeru svih klijenata banke, odnosno usporedbu imena fizičkih osoba i naziva entiteta sa liste, s onima iz baze klijenata banke. Banke su o navedenim provjerama obavezne kvartalno izvještavati Ured. </w:t>
      </w:r>
    </w:p>
    <w:p w14:paraId="0B5B557F" w14:textId="77777777" w:rsidR="00D80C7C" w:rsidRDefault="00D80C7C" w:rsidP="00D80C7C">
      <w:pPr>
        <w:spacing w:after="0" w:line="240" w:lineRule="auto"/>
        <w:jc w:val="both"/>
        <w:rPr>
          <w:rFonts w:ascii="Times New Roman" w:eastAsia="Times New Roman" w:hAnsi="Times New Roman" w:cs="Times New Roman"/>
          <w:sz w:val="24"/>
          <w:szCs w:val="24"/>
          <w:lang w:eastAsia="hr-HR"/>
        </w:rPr>
      </w:pPr>
    </w:p>
    <w:p w14:paraId="233643C0" w14:textId="3246004E" w:rsidR="00B90180" w:rsidRDefault="00B90180">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47F93855" w14:textId="05C5B7F5" w:rsidR="00FD171C" w:rsidRPr="00FD171C" w:rsidRDefault="00D80C7C" w:rsidP="00D80C7C">
      <w:pPr>
        <w:pStyle w:val="Naslov3"/>
        <w:spacing w:after="0" w:line="240" w:lineRule="auto"/>
      </w:pPr>
      <w:bookmarkStart w:id="17" w:name="_Toc153353423"/>
      <w:r>
        <w:lastRenderedPageBreak/>
        <w:t>2.5.</w:t>
      </w:r>
      <w:r>
        <w:tab/>
      </w:r>
      <w:r w:rsidR="00FD171C" w:rsidRPr="00FD171C">
        <w:t xml:space="preserve">Pregled jedinstvene statistike sustava </w:t>
      </w:r>
      <w:r>
        <w:t>SPNFT u 2022.</w:t>
      </w:r>
      <w:bookmarkEnd w:id="17"/>
    </w:p>
    <w:p w14:paraId="3EF2FBFB" w14:textId="77777777" w:rsidR="00A94785" w:rsidRDefault="00A94785" w:rsidP="00D80C7C">
      <w:pPr>
        <w:spacing w:after="0" w:line="240" w:lineRule="auto"/>
        <w:jc w:val="both"/>
        <w:rPr>
          <w:rFonts w:ascii="Times New Roman" w:eastAsia="Calibri" w:hAnsi="Times New Roman" w:cs="Times New Roman"/>
          <w:sz w:val="24"/>
          <w:szCs w:val="24"/>
        </w:rPr>
      </w:pPr>
    </w:p>
    <w:p w14:paraId="0AB9A3A1" w14:textId="69DBCDE7" w:rsidR="004665E0" w:rsidRPr="008121A2" w:rsidRDefault="004665E0" w:rsidP="004665E0">
      <w:pPr>
        <w:spacing w:after="0" w:line="240" w:lineRule="auto"/>
        <w:jc w:val="both"/>
        <w:rPr>
          <w:rFonts w:ascii="Times New Roman" w:eastAsia="Calibri" w:hAnsi="Times New Roman" w:cs="Times New Roman"/>
          <w:sz w:val="24"/>
          <w:szCs w:val="24"/>
        </w:rPr>
      </w:pPr>
      <w:r w:rsidRPr="008121A2">
        <w:rPr>
          <w:rFonts w:ascii="Times New Roman" w:eastAsia="Calibri" w:hAnsi="Times New Roman" w:cs="Times New Roman"/>
          <w:sz w:val="24"/>
          <w:szCs w:val="24"/>
        </w:rPr>
        <w:t xml:space="preserve">Sukladno međunarodnim standardima i Zakonu, a zbog procjene djelotvornosti cjelovitog sustava u suzbijanju pranja novca i financiranja terorizma u RH, nadležna državna tijela moraju voditi sveobuhvatnu statistiku i Uredu dostavljati podatke o postupcima za kaznena djela pranja novca i financiranja terorizma </w:t>
      </w:r>
      <w:r w:rsidR="00E205F1" w:rsidRPr="00E205F1">
        <w:rPr>
          <w:rFonts w:ascii="Times New Roman" w:eastAsia="Calibri" w:hAnsi="Times New Roman" w:cs="Times New Roman"/>
          <w:sz w:val="24"/>
          <w:szCs w:val="24"/>
        </w:rPr>
        <w:t>(</w:t>
      </w:r>
      <w:r w:rsidRPr="00E205F1">
        <w:rPr>
          <w:rFonts w:ascii="Times New Roman" w:eastAsia="Calibri" w:hAnsi="Times New Roman" w:cs="Times New Roman"/>
          <w:sz w:val="24"/>
          <w:szCs w:val="24"/>
        </w:rPr>
        <w:t>član</w:t>
      </w:r>
      <w:r w:rsidR="00E205F1" w:rsidRPr="00E205F1">
        <w:rPr>
          <w:rFonts w:ascii="Times New Roman" w:eastAsia="Calibri" w:hAnsi="Times New Roman" w:cs="Times New Roman"/>
          <w:sz w:val="24"/>
          <w:szCs w:val="24"/>
        </w:rPr>
        <w:t xml:space="preserve">ak </w:t>
      </w:r>
      <w:r w:rsidRPr="00E205F1">
        <w:rPr>
          <w:rFonts w:ascii="Times New Roman" w:eastAsia="Calibri" w:hAnsi="Times New Roman" w:cs="Times New Roman"/>
          <w:sz w:val="24"/>
          <w:szCs w:val="24"/>
        </w:rPr>
        <w:t>148. Zakona).</w:t>
      </w:r>
    </w:p>
    <w:p w14:paraId="0EC709FE" w14:textId="77777777" w:rsidR="004665E0" w:rsidRPr="008121A2" w:rsidRDefault="004665E0" w:rsidP="004665E0">
      <w:pPr>
        <w:spacing w:after="0" w:line="240" w:lineRule="auto"/>
        <w:jc w:val="both"/>
        <w:rPr>
          <w:rFonts w:ascii="Times New Roman" w:eastAsia="Calibri" w:hAnsi="Times New Roman" w:cs="Times New Roman"/>
          <w:b/>
          <w:sz w:val="24"/>
          <w:szCs w:val="24"/>
        </w:rPr>
      </w:pPr>
    </w:p>
    <w:p w14:paraId="63AE2845" w14:textId="77777777" w:rsidR="00F10A03" w:rsidRDefault="004665E0" w:rsidP="00F30F6B">
      <w:pPr>
        <w:spacing w:after="0" w:line="240" w:lineRule="auto"/>
        <w:jc w:val="both"/>
        <w:rPr>
          <w:rFonts w:ascii="Times New Roman" w:eastAsia="Calibri" w:hAnsi="Times New Roman" w:cs="Times New Roman"/>
          <w:sz w:val="24"/>
          <w:szCs w:val="24"/>
          <w:u w:val="single"/>
        </w:rPr>
      </w:pPr>
      <w:r w:rsidRPr="00B9003E">
        <w:rPr>
          <w:rFonts w:ascii="Times New Roman" w:eastAsia="Calibri" w:hAnsi="Times New Roman" w:cs="Times New Roman"/>
          <w:sz w:val="24"/>
          <w:szCs w:val="24"/>
          <w:u w:val="single"/>
        </w:rPr>
        <w:t>Tablica 1</w:t>
      </w:r>
      <w:r w:rsidR="00B90180" w:rsidRPr="00B9003E">
        <w:rPr>
          <w:rFonts w:ascii="Times New Roman" w:eastAsia="Calibri" w:hAnsi="Times New Roman" w:cs="Times New Roman"/>
          <w:sz w:val="24"/>
          <w:szCs w:val="24"/>
          <w:u w:val="single"/>
        </w:rPr>
        <w:t>4</w:t>
      </w:r>
      <w:r w:rsidRPr="00B9003E">
        <w:rPr>
          <w:rFonts w:ascii="Times New Roman" w:eastAsia="Calibri" w:hAnsi="Times New Roman" w:cs="Times New Roman"/>
          <w:sz w:val="24"/>
          <w:szCs w:val="24"/>
          <w:u w:val="single"/>
        </w:rPr>
        <w:t xml:space="preserve">. Statistika Ureda i pravosuđa u </w:t>
      </w:r>
      <w:r w:rsidR="00F10A03">
        <w:rPr>
          <w:rFonts w:ascii="Times New Roman" w:eastAsia="Calibri" w:hAnsi="Times New Roman" w:cs="Times New Roman"/>
          <w:sz w:val="24"/>
          <w:szCs w:val="24"/>
          <w:u w:val="single"/>
        </w:rPr>
        <w:t xml:space="preserve">2021. i </w:t>
      </w:r>
      <w:r w:rsidRPr="00B9003E">
        <w:rPr>
          <w:rFonts w:ascii="Times New Roman" w:eastAsia="Calibri" w:hAnsi="Times New Roman" w:cs="Times New Roman"/>
          <w:sz w:val="24"/>
          <w:szCs w:val="24"/>
          <w:u w:val="single"/>
        </w:rPr>
        <w:t>202</w:t>
      </w:r>
      <w:r w:rsidR="008121A2" w:rsidRPr="00B9003E">
        <w:rPr>
          <w:rFonts w:ascii="Times New Roman" w:eastAsia="Calibri" w:hAnsi="Times New Roman" w:cs="Times New Roman"/>
          <w:sz w:val="24"/>
          <w:szCs w:val="24"/>
          <w:u w:val="single"/>
        </w:rPr>
        <w:t>2</w:t>
      </w:r>
      <w:r w:rsidRPr="00B9003E">
        <w:rPr>
          <w:rFonts w:ascii="Times New Roman" w:eastAsia="Calibri" w:hAnsi="Times New Roman" w:cs="Times New Roman"/>
          <w:sz w:val="24"/>
          <w:szCs w:val="24"/>
          <w:u w:val="single"/>
        </w:rPr>
        <w:t>.</w:t>
      </w:r>
    </w:p>
    <w:tbl>
      <w:tblPr>
        <w:tblW w:w="9067" w:type="dxa"/>
        <w:tblLayout w:type="fixed"/>
        <w:tblLook w:val="04A0" w:firstRow="1" w:lastRow="0" w:firstColumn="1" w:lastColumn="0" w:noHBand="0" w:noVBand="1"/>
      </w:tblPr>
      <w:tblGrid>
        <w:gridCol w:w="1980"/>
        <w:gridCol w:w="850"/>
        <w:gridCol w:w="709"/>
        <w:gridCol w:w="851"/>
        <w:gridCol w:w="850"/>
        <w:gridCol w:w="567"/>
        <w:gridCol w:w="567"/>
        <w:gridCol w:w="709"/>
        <w:gridCol w:w="709"/>
        <w:gridCol w:w="567"/>
        <w:gridCol w:w="708"/>
      </w:tblGrid>
      <w:tr w:rsidR="00F10A03" w:rsidRPr="00F10A03" w14:paraId="759E67CC" w14:textId="77777777" w:rsidTr="00F10A03">
        <w:trPr>
          <w:trHeight w:val="660"/>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8EA90B" w14:textId="551B8023" w:rsidR="00F10A03" w:rsidRPr="00F10A03" w:rsidRDefault="00F10A03" w:rsidP="00F10A03">
            <w:pPr>
              <w:spacing w:after="0" w:line="240" w:lineRule="auto"/>
              <w:jc w:val="center"/>
              <w:rPr>
                <w:rFonts w:ascii="Times New Roman" w:eastAsia="Times New Roman" w:hAnsi="Times New Roman" w:cs="Times New Roman"/>
                <w:bCs/>
                <w:color w:val="000000"/>
                <w:sz w:val="20"/>
                <w:szCs w:val="20"/>
                <w:lang w:eastAsia="hr-HR"/>
              </w:rPr>
            </w:pPr>
            <w:r w:rsidRPr="00F10A03">
              <w:rPr>
                <w:rFonts w:ascii="Times New Roman" w:eastAsia="Calibri" w:hAnsi="Times New Roman" w:cs="Times New Roman"/>
                <w:bCs/>
                <w:color w:val="000000"/>
                <w:sz w:val="20"/>
                <w:szCs w:val="20"/>
                <w:lang w:eastAsia="hr-HR"/>
              </w:rPr>
              <w:t xml:space="preserve">IZVOR PREDMETA UREDA </w:t>
            </w:r>
          </w:p>
        </w:tc>
        <w:tc>
          <w:tcPr>
            <w:tcW w:w="3260"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4F7DBFF" w14:textId="77777777" w:rsidR="00F10A03" w:rsidRPr="00F10A03" w:rsidRDefault="00F10A03" w:rsidP="00F10A03">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STATISTIKA UREDA</w:t>
            </w:r>
          </w:p>
        </w:tc>
        <w:tc>
          <w:tcPr>
            <w:tcW w:w="3827"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3BF86AC" w14:textId="77777777" w:rsidR="00F10A03" w:rsidRPr="00F10A03" w:rsidRDefault="00F10A03" w:rsidP="00F10A03">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STATISTIKA PRAVOSUĐA</w:t>
            </w:r>
          </w:p>
        </w:tc>
      </w:tr>
      <w:tr w:rsidR="00F10A03" w:rsidRPr="00F10A03" w14:paraId="103666E3" w14:textId="77777777" w:rsidTr="00F10A03">
        <w:trPr>
          <w:trHeight w:val="630"/>
        </w:trPr>
        <w:tc>
          <w:tcPr>
            <w:tcW w:w="19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900EBDA" w14:textId="77777777" w:rsidR="00F10A03" w:rsidRPr="00F10A03" w:rsidRDefault="00F10A03" w:rsidP="00F10A03">
            <w:pPr>
              <w:spacing w:after="0" w:line="240" w:lineRule="auto"/>
              <w:jc w:val="center"/>
              <w:rPr>
                <w:rFonts w:ascii="Times New Roman" w:eastAsia="Times New Roman" w:hAnsi="Times New Roman" w:cs="Times New Roman"/>
                <w:b/>
                <w:bCs/>
                <w:color w:val="000000"/>
                <w:lang w:eastAsia="hr-HR"/>
              </w:rPr>
            </w:pPr>
            <w:r w:rsidRPr="00F10A03">
              <w:rPr>
                <w:rFonts w:ascii="Times New Roman" w:eastAsia="Times New Roman" w:hAnsi="Times New Roman" w:cs="Times New Roman"/>
                <w:b/>
                <w:bCs/>
                <w:color w:val="000000"/>
                <w:lang w:eastAsia="hr-HR"/>
              </w:rPr>
              <w:t>2021</w:t>
            </w:r>
          </w:p>
        </w:tc>
        <w:tc>
          <w:tcPr>
            <w:tcW w:w="1559"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364F605" w14:textId="77777777" w:rsidR="00F10A03" w:rsidRPr="00F10A03" w:rsidRDefault="00F10A03" w:rsidP="00F10A03">
            <w:pPr>
              <w:spacing w:after="0" w:line="240" w:lineRule="auto"/>
              <w:jc w:val="center"/>
              <w:rPr>
                <w:rFonts w:ascii="Times New Roman" w:eastAsia="Times New Roman" w:hAnsi="Times New Roman" w:cs="Times New Roman"/>
                <w:bCs/>
                <w:color w:val="000000"/>
                <w:sz w:val="20"/>
                <w:szCs w:val="20"/>
                <w:lang w:eastAsia="hr-HR"/>
              </w:rPr>
            </w:pPr>
            <w:r w:rsidRPr="00F10A03">
              <w:rPr>
                <w:rFonts w:ascii="Times New Roman" w:eastAsia="Calibri" w:hAnsi="Times New Roman" w:cs="Times New Roman"/>
                <w:bCs/>
                <w:color w:val="000000"/>
                <w:sz w:val="20"/>
                <w:szCs w:val="20"/>
                <w:lang w:eastAsia="hr-HR"/>
              </w:rPr>
              <w:t>ANALITIČKE OBRADE</w:t>
            </w:r>
          </w:p>
        </w:tc>
        <w:tc>
          <w:tcPr>
            <w:tcW w:w="1701"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33EDFE8" w14:textId="77777777" w:rsidR="00F10A03" w:rsidRPr="00F10A03" w:rsidRDefault="00F10A03" w:rsidP="00F10A03">
            <w:pPr>
              <w:spacing w:after="0" w:line="240" w:lineRule="auto"/>
              <w:jc w:val="center"/>
              <w:rPr>
                <w:rFonts w:ascii="Times New Roman" w:eastAsia="Times New Roman" w:hAnsi="Times New Roman" w:cs="Times New Roman"/>
                <w:bCs/>
                <w:color w:val="000000"/>
                <w:sz w:val="20"/>
                <w:szCs w:val="20"/>
                <w:lang w:eastAsia="hr-HR"/>
              </w:rPr>
            </w:pPr>
            <w:r w:rsidRPr="00F10A03">
              <w:rPr>
                <w:rFonts w:ascii="Times New Roman" w:eastAsia="Calibri" w:hAnsi="Times New Roman" w:cs="Times New Roman"/>
                <w:bCs/>
                <w:color w:val="000000"/>
                <w:sz w:val="20"/>
                <w:szCs w:val="20"/>
                <w:lang w:eastAsia="hr-HR"/>
              </w:rPr>
              <w:t>PROSLIJEĐENI SLUČAJEVI</w:t>
            </w:r>
          </w:p>
        </w:tc>
        <w:tc>
          <w:tcPr>
            <w:tcW w:w="113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E2082B3" w14:textId="77777777" w:rsidR="00F10A03" w:rsidRPr="00F10A03" w:rsidRDefault="00F10A03" w:rsidP="00F10A03">
            <w:pPr>
              <w:spacing w:after="0" w:line="240" w:lineRule="auto"/>
              <w:jc w:val="center"/>
              <w:rPr>
                <w:rFonts w:ascii="Times New Roman" w:eastAsia="Times New Roman" w:hAnsi="Times New Roman" w:cs="Times New Roman"/>
                <w:bCs/>
                <w:color w:val="000000"/>
                <w:sz w:val="20"/>
                <w:szCs w:val="20"/>
                <w:lang w:eastAsia="hr-HR"/>
              </w:rPr>
            </w:pPr>
            <w:r w:rsidRPr="00F10A03">
              <w:rPr>
                <w:rFonts w:ascii="Times New Roman" w:eastAsia="Calibri" w:hAnsi="Times New Roman" w:cs="Times New Roman"/>
                <w:bCs/>
                <w:color w:val="000000"/>
                <w:sz w:val="20"/>
                <w:szCs w:val="20"/>
                <w:lang w:eastAsia="hr-HR"/>
              </w:rPr>
              <w:t>ISTRAGE</w:t>
            </w:r>
          </w:p>
        </w:tc>
        <w:tc>
          <w:tcPr>
            <w:tcW w:w="1418"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042E872" w14:textId="77777777" w:rsidR="00F10A03" w:rsidRPr="00F10A03" w:rsidRDefault="00F10A03" w:rsidP="00F10A03">
            <w:pPr>
              <w:spacing w:after="0" w:line="240" w:lineRule="auto"/>
              <w:jc w:val="center"/>
              <w:rPr>
                <w:rFonts w:ascii="Times New Roman" w:eastAsia="Times New Roman" w:hAnsi="Times New Roman" w:cs="Times New Roman"/>
                <w:bCs/>
                <w:color w:val="000000"/>
                <w:sz w:val="20"/>
                <w:szCs w:val="20"/>
                <w:lang w:eastAsia="hr-HR"/>
              </w:rPr>
            </w:pPr>
            <w:r w:rsidRPr="00F10A03">
              <w:rPr>
                <w:rFonts w:ascii="Times New Roman" w:eastAsia="Calibri" w:hAnsi="Times New Roman" w:cs="Times New Roman"/>
                <w:bCs/>
                <w:color w:val="000000"/>
                <w:sz w:val="20"/>
                <w:szCs w:val="20"/>
                <w:lang w:eastAsia="hr-HR"/>
              </w:rPr>
              <w:t>OPTUŽNICE</w:t>
            </w:r>
          </w:p>
        </w:tc>
        <w:tc>
          <w:tcPr>
            <w:tcW w:w="1275"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1DC019B" w14:textId="77777777" w:rsidR="00F10A03" w:rsidRPr="00F10A03" w:rsidRDefault="00F10A03" w:rsidP="00F10A03">
            <w:pPr>
              <w:spacing w:after="0" w:line="240" w:lineRule="auto"/>
              <w:jc w:val="center"/>
              <w:rPr>
                <w:rFonts w:ascii="Times New Roman" w:eastAsia="Times New Roman" w:hAnsi="Times New Roman" w:cs="Times New Roman"/>
                <w:bCs/>
                <w:color w:val="000000"/>
                <w:sz w:val="20"/>
                <w:szCs w:val="20"/>
                <w:lang w:eastAsia="hr-HR"/>
              </w:rPr>
            </w:pPr>
            <w:r w:rsidRPr="00F10A03">
              <w:rPr>
                <w:rFonts w:ascii="Times New Roman" w:eastAsia="Calibri" w:hAnsi="Times New Roman" w:cs="Times New Roman"/>
                <w:bCs/>
                <w:color w:val="000000"/>
                <w:sz w:val="20"/>
                <w:szCs w:val="20"/>
                <w:lang w:eastAsia="hr-HR"/>
              </w:rPr>
              <w:t>PRESUDE</w:t>
            </w:r>
          </w:p>
        </w:tc>
      </w:tr>
      <w:tr w:rsidR="00F10A03" w:rsidRPr="00F10A03" w14:paraId="037F9D65" w14:textId="77777777" w:rsidTr="00F10A03">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215D095" w14:textId="77777777" w:rsidR="00F10A03" w:rsidRPr="00F10A03" w:rsidRDefault="00F10A03" w:rsidP="00F10A03">
            <w:pPr>
              <w:spacing w:after="0" w:line="240" w:lineRule="auto"/>
              <w:jc w:val="center"/>
              <w:rPr>
                <w:rFonts w:ascii="Times New Roman" w:eastAsia="Times New Roman" w:hAnsi="Times New Roman" w:cs="Times New Roman"/>
                <w:b/>
                <w:bCs/>
                <w:color w:val="000000"/>
                <w:lang w:eastAsia="hr-HR"/>
              </w:rPr>
            </w:pPr>
            <w:r w:rsidRPr="00F10A03">
              <w:rPr>
                <w:rFonts w:ascii="Times New Roman" w:eastAsia="Times New Roman" w:hAnsi="Times New Roman" w:cs="Times New Roman"/>
                <w:b/>
                <w:bCs/>
                <w:color w:val="000000"/>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14:paraId="69EFADDB" w14:textId="77777777" w:rsidR="00F10A03" w:rsidRPr="00F10A03" w:rsidRDefault="00F10A03" w:rsidP="00F10A03">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PN</w:t>
            </w:r>
          </w:p>
        </w:tc>
        <w:tc>
          <w:tcPr>
            <w:tcW w:w="709" w:type="dxa"/>
            <w:tcBorders>
              <w:top w:val="nil"/>
              <w:left w:val="nil"/>
              <w:bottom w:val="single" w:sz="4" w:space="0" w:color="auto"/>
              <w:right w:val="single" w:sz="4" w:space="0" w:color="auto"/>
            </w:tcBorders>
            <w:shd w:val="clear" w:color="auto" w:fill="auto"/>
            <w:vAlign w:val="center"/>
            <w:hideMark/>
          </w:tcPr>
          <w:p w14:paraId="2AEDA092" w14:textId="77777777" w:rsidR="00F10A03" w:rsidRPr="00F10A03" w:rsidRDefault="00F10A03" w:rsidP="00F10A03">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FT</w:t>
            </w:r>
          </w:p>
        </w:tc>
        <w:tc>
          <w:tcPr>
            <w:tcW w:w="851" w:type="dxa"/>
            <w:tcBorders>
              <w:top w:val="nil"/>
              <w:left w:val="nil"/>
              <w:bottom w:val="single" w:sz="4" w:space="0" w:color="auto"/>
              <w:right w:val="single" w:sz="4" w:space="0" w:color="auto"/>
            </w:tcBorders>
            <w:shd w:val="clear" w:color="auto" w:fill="auto"/>
            <w:vAlign w:val="center"/>
            <w:hideMark/>
          </w:tcPr>
          <w:p w14:paraId="7935DE19" w14:textId="77777777" w:rsidR="00F10A03" w:rsidRPr="00F10A03" w:rsidRDefault="00F10A03" w:rsidP="00F10A03">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PN</w:t>
            </w:r>
          </w:p>
        </w:tc>
        <w:tc>
          <w:tcPr>
            <w:tcW w:w="850" w:type="dxa"/>
            <w:tcBorders>
              <w:top w:val="nil"/>
              <w:left w:val="nil"/>
              <w:bottom w:val="single" w:sz="4" w:space="0" w:color="auto"/>
              <w:right w:val="single" w:sz="4" w:space="0" w:color="auto"/>
            </w:tcBorders>
            <w:shd w:val="clear" w:color="auto" w:fill="auto"/>
            <w:vAlign w:val="center"/>
            <w:hideMark/>
          </w:tcPr>
          <w:p w14:paraId="229655DA" w14:textId="77777777" w:rsidR="00F10A03" w:rsidRPr="00F10A03" w:rsidRDefault="00F10A03" w:rsidP="00F10A03">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FT</w:t>
            </w:r>
          </w:p>
        </w:tc>
        <w:tc>
          <w:tcPr>
            <w:tcW w:w="567" w:type="dxa"/>
            <w:tcBorders>
              <w:top w:val="nil"/>
              <w:left w:val="nil"/>
              <w:bottom w:val="single" w:sz="4" w:space="0" w:color="auto"/>
              <w:right w:val="single" w:sz="4" w:space="0" w:color="auto"/>
            </w:tcBorders>
            <w:shd w:val="clear" w:color="auto" w:fill="auto"/>
            <w:vAlign w:val="center"/>
            <w:hideMark/>
          </w:tcPr>
          <w:p w14:paraId="7C684DE7" w14:textId="77777777" w:rsidR="00F10A03" w:rsidRPr="00F10A03" w:rsidRDefault="00F10A03" w:rsidP="00F10A03">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PN</w:t>
            </w:r>
          </w:p>
        </w:tc>
        <w:tc>
          <w:tcPr>
            <w:tcW w:w="567" w:type="dxa"/>
            <w:tcBorders>
              <w:top w:val="nil"/>
              <w:left w:val="nil"/>
              <w:bottom w:val="single" w:sz="4" w:space="0" w:color="auto"/>
              <w:right w:val="single" w:sz="4" w:space="0" w:color="auto"/>
            </w:tcBorders>
            <w:shd w:val="clear" w:color="auto" w:fill="auto"/>
            <w:vAlign w:val="center"/>
            <w:hideMark/>
          </w:tcPr>
          <w:p w14:paraId="4881A296" w14:textId="77777777" w:rsidR="00F10A03" w:rsidRPr="00F10A03" w:rsidRDefault="00F10A03" w:rsidP="00F10A03">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FT</w:t>
            </w:r>
          </w:p>
        </w:tc>
        <w:tc>
          <w:tcPr>
            <w:tcW w:w="709" w:type="dxa"/>
            <w:tcBorders>
              <w:top w:val="nil"/>
              <w:left w:val="nil"/>
              <w:bottom w:val="single" w:sz="4" w:space="0" w:color="auto"/>
              <w:right w:val="single" w:sz="4" w:space="0" w:color="auto"/>
            </w:tcBorders>
            <w:shd w:val="clear" w:color="auto" w:fill="auto"/>
            <w:vAlign w:val="center"/>
            <w:hideMark/>
          </w:tcPr>
          <w:p w14:paraId="30471E26" w14:textId="77777777" w:rsidR="00F10A03" w:rsidRPr="00F10A03" w:rsidRDefault="00F10A03" w:rsidP="00F10A03">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PN</w:t>
            </w:r>
          </w:p>
        </w:tc>
        <w:tc>
          <w:tcPr>
            <w:tcW w:w="709" w:type="dxa"/>
            <w:tcBorders>
              <w:top w:val="nil"/>
              <w:left w:val="nil"/>
              <w:bottom w:val="single" w:sz="4" w:space="0" w:color="auto"/>
              <w:right w:val="single" w:sz="4" w:space="0" w:color="auto"/>
            </w:tcBorders>
            <w:shd w:val="clear" w:color="auto" w:fill="auto"/>
            <w:vAlign w:val="center"/>
            <w:hideMark/>
          </w:tcPr>
          <w:p w14:paraId="335C607C" w14:textId="77777777" w:rsidR="00F10A03" w:rsidRPr="00F10A03" w:rsidRDefault="00F10A03" w:rsidP="00F10A03">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FT</w:t>
            </w:r>
          </w:p>
        </w:tc>
        <w:tc>
          <w:tcPr>
            <w:tcW w:w="567" w:type="dxa"/>
            <w:tcBorders>
              <w:top w:val="nil"/>
              <w:left w:val="nil"/>
              <w:bottom w:val="single" w:sz="4" w:space="0" w:color="auto"/>
              <w:right w:val="single" w:sz="4" w:space="0" w:color="auto"/>
            </w:tcBorders>
            <w:shd w:val="clear" w:color="auto" w:fill="auto"/>
            <w:vAlign w:val="center"/>
            <w:hideMark/>
          </w:tcPr>
          <w:p w14:paraId="79EE563A" w14:textId="77777777" w:rsidR="00F10A03" w:rsidRPr="00F10A03" w:rsidRDefault="00F10A03" w:rsidP="00F10A03">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PN</w:t>
            </w:r>
          </w:p>
        </w:tc>
        <w:tc>
          <w:tcPr>
            <w:tcW w:w="708" w:type="dxa"/>
            <w:tcBorders>
              <w:top w:val="nil"/>
              <w:left w:val="nil"/>
              <w:bottom w:val="single" w:sz="4" w:space="0" w:color="auto"/>
              <w:right w:val="single" w:sz="4" w:space="0" w:color="auto"/>
            </w:tcBorders>
            <w:shd w:val="clear" w:color="auto" w:fill="auto"/>
            <w:vAlign w:val="center"/>
            <w:hideMark/>
          </w:tcPr>
          <w:p w14:paraId="476EDF76" w14:textId="77777777" w:rsidR="00F10A03" w:rsidRPr="00F10A03" w:rsidRDefault="00F10A03" w:rsidP="00F10A03">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FT</w:t>
            </w:r>
          </w:p>
        </w:tc>
      </w:tr>
      <w:tr w:rsidR="00F10A03" w:rsidRPr="00F10A03" w14:paraId="0A6D36B0" w14:textId="77777777" w:rsidTr="00F10A03">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1C5D1E7" w14:textId="77777777" w:rsidR="00F10A03" w:rsidRPr="00F10A03" w:rsidRDefault="00F10A03" w:rsidP="00F10A03">
            <w:pPr>
              <w:spacing w:after="0" w:line="240" w:lineRule="auto"/>
              <w:rPr>
                <w:rFonts w:ascii="Times New Roman" w:eastAsia="Times New Roman" w:hAnsi="Times New Roman" w:cs="Times New Roman"/>
                <w:color w:val="000000"/>
                <w:sz w:val="20"/>
                <w:szCs w:val="20"/>
                <w:lang w:eastAsia="hr-HR"/>
              </w:rPr>
            </w:pPr>
            <w:r w:rsidRPr="00F10A03">
              <w:rPr>
                <w:rFonts w:ascii="Times New Roman" w:eastAsia="Calibri" w:hAnsi="Times New Roman" w:cs="Times New Roman"/>
                <w:color w:val="000000"/>
                <w:sz w:val="20"/>
                <w:szCs w:val="20"/>
                <w:lang w:eastAsia="hr-HR"/>
              </w:rPr>
              <w:t>OBVEZNICI</w:t>
            </w:r>
          </w:p>
        </w:tc>
        <w:tc>
          <w:tcPr>
            <w:tcW w:w="850" w:type="dxa"/>
            <w:tcBorders>
              <w:top w:val="nil"/>
              <w:left w:val="nil"/>
              <w:bottom w:val="single" w:sz="4" w:space="0" w:color="auto"/>
              <w:right w:val="single" w:sz="4" w:space="0" w:color="auto"/>
            </w:tcBorders>
            <w:shd w:val="clear" w:color="auto" w:fill="auto"/>
            <w:vAlign w:val="center"/>
            <w:hideMark/>
          </w:tcPr>
          <w:p w14:paraId="2D127D2F" w14:textId="77777777" w:rsidR="00F10A03" w:rsidRPr="00F10A03" w:rsidRDefault="00F10A03" w:rsidP="00F10A03">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Times New Roman" w:hAnsi="Times New Roman" w:cs="Times New Roman"/>
                <w:color w:val="000000"/>
                <w:sz w:val="20"/>
                <w:szCs w:val="20"/>
                <w:lang w:eastAsia="hr-HR"/>
              </w:rPr>
              <w:t>283</w:t>
            </w:r>
          </w:p>
        </w:tc>
        <w:tc>
          <w:tcPr>
            <w:tcW w:w="709" w:type="dxa"/>
            <w:tcBorders>
              <w:top w:val="nil"/>
              <w:left w:val="nil"/>
              <w:bottom w:val="single" w:sz="4" w:space="0" w:color="auto"/>
              <w:right w:val="single" w:sz="4" w:space="0" w:color="auto"/>
            </w:tcBorders>
            <w:shd w:val="clear" w:color="auto" w:fill="auto"/>
            <w:vAlign w:val="center"/>
            <w:hideMark/>
          </w:tcPr>
          <w:p w14:paraId="39594DFD" w14:textId="77777777" w:rsidR="00F10A03" w:rsidRPr="00F10A03" w:rsidRDefault="00F10A03" w:rsidP="00F10A03">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Times New Roman" w:hAnsi="Times New Roman" w:cs="Times New Roman"/>
                <w:color w:val="000000"/>
                <w:sz w:val="20"/>
                <w:szCs w:val="20"/>
                <w:lang w:eastAsia="hr-HR"/>
              </w:rPr>
              <w:t>4</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211BB8D" w14:textId="77777777" w:rsidR="00F10A03" w:rsidRPr="00F10A03" w:rsidRDefault="00F10A03" w:rsidP="00F10A03">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Calibri" w:hAnsi="Times New Roman" w:cs="Times New Roman"/>
                <w:color w:val="000000"/>
                <w:sz w:val="20"/>
                <w:szCs w:val="20"/>
                <w:lang w:eastAsia="hr-HR"/>
              </w:rPr>
              <w:t>287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6D54E57D" w14:textId="77777777" w:rsidR="00F10A03" w:rsidRPr="00F10A03" w:rsidRDefault="00F10A03" w:rsidP="00F10A03">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Calibri" w:hAnsi="Times New Roman" w:cs="Times New Roman"/>
                <w:color w:val="000000"/>
                <w:sz w:val="20"/>
                <w:szCs w:val="20"/>
                <w:lang w:eastAsia="hr-HR"/>
              </w:rPr>
              <w:t>7</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6CF4E15F" w14:textId="77777777" w:rsidR="00F10A03" w:rsidRPr="00F10A03" w:rsidRDefault="00F10A03" w:rsidP="00F10A03">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Times New Roman" w:hAnsi="Times New Roman" w:cs="Times New Roman"/>
                <w:color w:val="000000"/>
                <w:sz w:val="20"/>
                <w:szCs w:val="20"/>
                <w:lang w:eastAsia="hr-HR"/>
              </w:rPr>
              <w:t>26</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0976E82F" w14:textId="77777777" w:rsidR="00F10A03" w:rsidRPr="00F10A03" w:rsidRDefault="00F10A03" w:rsidP="00F10A03">
            <w:pPr>
              <w:spacing w:after="0" w:line="240" w:lineRule="auto"/>
              <w:jc w:val="center"/>
              <w:rPr>
                <w:rFonts w:ascii="Times New Roman" w:eastAsia="Times New Roman" w:hAnsi="Times New Roman" w:cs="Times New Roman"/>
                <w:color w:val="000000"/>
                <w:sz w:val="20"/>
                <w:szCs w:val="20"/>
                <w:lang w:eastAsia="hr-HR"/>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31B6117E" w14:textId="77777777" w:rsidR="00F10A03" w:rsidRPr="00F10A03" w:rsidRDefault="00F10A03" w:rsidP="00F10A03">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Times New Roman" w:hAnsi="Times New Roman" w:cs="Times New Roman"/>
                <w:color w:val="000000"/>
                <w:sz w:val="20"/>
                <w:szCs w:val="20"/>
                <w:lang w:eastAsia="hr-HR"/>
              </w:rPr>
              <w:t>12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30C9CE04" w14:textId="77777777" w:rsidR="00F10A03" w:rsidRPr="00F10A03" w:rsidRDefault="00F10A03" w:rsidP="00F10A03">
            <w:pPr>
              <w:spacing w:after="0" w:line="240" w:lineRule="auto"/>
              <w:jc w:val="center"/>
              <w:rPr>
                <w:rFonts w:ascii="Times New Roman" w:eastAsia="Times New Roman" w:hAnsi="Times New Roman" w:cs="Times New Roman"/>
                <w:color w:val="000000"/>
                <w:sz w:val="20"/>
                <w:szCs w:val="20"/>
                <w:lang w:eastAsia="hr-HR"/>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48F12E9E" w14:textId="77777777" w:rsidR="00F10A03" w:rsidRPr="00F10A03" w:rsidRDefault="00F10A03" w:rsidP="00F10A03">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Times New Roman" w:hAnsi="Times New Roman" w:cs="Times New Roman"/>
                <w:color w:val="000000"/>
                <w:sz w:val="20"/>
                <w:szCs w:val="20"/>
                <w:lang w:eastAsia="hr-HR"/>
              </w:rPr>
              <w:t>3</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14:paraId="679641F5" w14:textId="77777777" w:rsidR="00F10A03" w:rsidRPr="00F10A03" w:rsidRDefault="00F10A03" w:rsidP="00F10A03">
            <w:pPr>
              <w:spacing w:after="0" w:line="240" w:lineRule="auto"/>
              <w:jc w:val="center"/>
              <w:rPr>
                <w:rFonts w:ascii="Times New Roman" w:eastAsia="Times New Roman" w:hAnsi="Times New Roman" w:cs="Times New Roman"/>
                <w:color w:val="000000"/>
                <w:sz w:val="20"/>
                <w:szCs w:val="20"/>
                <w:highlight w:val="red"/>
                <w:lang w:eastAsia="hr-HR"/>
              </w:rPr>
            </w:pPr>
          </w:p>
        </w:tc>
      </w:tr>
      <w:tr w:rsidR="00F10A03" w:rsidRPr="00F10A03" w14:paraId="29F44100" w14:textId="77777777" w:rsidTr="00F10A03">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AD7B9E2" w14:textId="77777777" w:rsidR="00F10A03" w:rsidRPr="00F10A03" w:rsidRDefault="00F10A03" w:rsidP="00F10A03">
            <w:pPr>
              <w:spacing w:after="0" w:line="240" w:lineRule="auto"/>
              <w:rPr>
                <w:rFonts w:ascii="Times New Roman" w:eastAsia="Times New Roman" w:hAnsi="Times New Roman" w:cs="Times New Roman"/>
                <w:color w:val="000000"/>
                <w:sz w:val="20"/>
                <w:szCs w:val="20"/>
                <w:lang w:eastAsia="hr-HR"/>
              </w:rPr>
            </w:pPr>
            <w:r w:rsidRPr="00F10A03">
              <w:rPr>
                <w:rFonts w:ascii="Times New Roman" w:eastAsia="Calibri" w:hAnsi="Times New Roman" w:cs="Times New Roman"/>
                <w:color w:val="000000"/>
                <w:sz w:val="20"/>
                <w:szCs w:val="20"/>
                <w:lang w:eastAsia="hr-HR"/>
              </w:rPr>
              <w:t xml:space="preserve">DRŽAVNA TIJELA </w:t>
            </w:r>
          </w:p>
        </w:tc>
        <w:tc>
          <w:tcPr>
            <w:tcW w:w="850" w:type="dxa"/>
            <w:tcBorders>
              <w:top w:val="nil"/>
              <w:left w:val="nil"/>
              <w:bottom w:val="single" w:sz="4" w:space="0" w:color="auto"/>
              <w:right w:val="single" w:sz="4" w:space="0" w:color="auto"/>
            </w:tcBorders>
            <w:shd w:val="clear" w:color="auto" w:fill="auto"/>
            <w:vAlign w:val="center"/>
            <w:hideMark/>
          </w:tcPr>
          <w:p w14:paraId="6102D290" w14:textId="77777777" w:rsidR="00F10A03" w:rsidRPr="00F10A03" w:rsidRDefault="00F10A03" w:rsidP="00F10A03">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Times New Roman" w:hAnsi="Times New Roman" w:cs="Times New Roman"/>
                <w:color w:val="000000"/>
                <w:sz w:val="20"/>
                <w:szCs w:val="20"/>
                <w:lang w:eastAsia="hr-HR"/>
              </w:rPr>
              <w:t>56</w:t>
            </w:r>
          </w:p>
        </w:tc>
        <w:tc>
          <w:tcPr>
            <w:tcW w:w="709" w:type="dxa"/>
            <w:tcBorders>
              <w:top w:val="nil"/>
              <w:left w:val="nil"/>
              <w:bottom w:val="single" w:sz="4" w:space="0" w:color="auto"/>
              <w:right w:val="single" w:sz="4" w:space="0" w:color="auto"/>
            </w:tcBorders>
            <w:shd w:val="clear" w:color="auto" w:fill="auto"/>
            <w:vAlign w:val="center"/>
            <w:hideMark/>
          </w:tcPr>
          <w:p w14:paraId="4454D8BF" w14:textId="77777777" w:rsidR="00F10A03" w:rsidRPr="00F10A03" w:rsidRDefault="00F10A03" w:rsidP="00F10A03">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Times New Roman" w:hAnsi="Times New Roman" w:cs="Times New Roman"/>
                <w:color w:val="000000"/>
                <w:sz w:val="20"/>
                <w:szCs w:val="20"/>
                <w:lang w:eastAsia="hr-HR"/>
              </w:rPr>
              <w:t>3</w:t>
            </w:r>
          </w:p>
        </w:tc>
        <w:tc>
          <w:tcPr>
            <w:tcW w:w="851" w:type="dxa"/>
            <w:vMerge/>
            <w:tcBorders>
              <w:top w:val="nil"/>
              <w:left w:val="single" w:sz="4" w:space="0" w:color="auto"/>
              <w:bottom w:val="single" w:sz="4" w:space="0" w:color="auto"/>
              <w:right w:val="single" w:sz="4" w:space="0" w:color="auto"/>
            </w:tcBorders>
            <w:vAlign w:val="center"/>
            <w:hideMark/>
          </w:tcPr>
          <w:p w14:paraId="060BE996" w14:textId="77777777" w:rsidR="00F10A03" w:rsidRPr="00F10A03" w:rsidRDefault="00F10A03" w:rsidP="00F10A03">
            <w:pPr>
              <w:spacing w:after="0" w:line="240" w:lineRule="auto"/>
              <w:rPr>
                <w:rFonts w:ascii="Times New Roman" w:eastAsia="Times New Roman" w:hAnsi="Times New Roman" w:cs="Times New Roman"/>
                <w:color w:val="000000"/>
                <w:sz w:val="20"/>
                <w:szCs w:val="20"/>
                <w:lang w:eastAsia="hr-HR"/>
              </w:rPr>
            </w:pPr>
          </w:p>
        </w:tc>
        <w:tc>
          <w:tcPr>
            <w:tcW w:w="850" w:type="dxa"/>
            <w:vMerge/>
            <w:tcBorders>
              <w:top w:val="nil"/>
              <w:left w:val="single" w:sz="4" w:space="0" w:color="auto"/>
              <w:bottom w:val="single" w:sz="4" w:space="0" w:color="auto"/>
              <w:right w:val="single" w:sz="4" w:space="0" w:color="auto"/>
            </w:tcBorders>
            <w:vAlign w:val="center"/>
            <w:hideMark/>
          </w:tcPr>
          <w:p w14:paraId="120CDCF0" w14:textId="77777777" w:rsidR="00F10A03" w:rsidRPr="00F10A03" w:rsidRDefault="00F10A03" w:rsidP="00F10A03">
            <w:pPr>
              <w:spacing w:after="0" w:line="240" w:lineRule="auto"/>
              <w:rPr>
                <w:rFonts w:ascii="Times New Roman" w:eastAsia="Times New Roman" w:hAnsi="Times New Roman" w:cs="Times New Roman"/>
                <w:color w:val="000000"/>
                <w:sz w:val="20"/>
                <w:szCs w:val="20"/>
                <w:lang w:eastAsia="hr-HR"/>
              </w:rPr>
            </w:pPr>
          </w:p>
        </w:tc>
        <w:tc>
          <w:tcPr>
            <w:tcW w:w="567" w:type="dxa"/>
            <w:vMerge/>
            <w:tcBorders>
              <w:top w:val="nil"/>
              <w:left w:val="single" w:sz="4" w:space="0" w:color="auto"/>
              <w:bottom w:val="single" w:sz="4" w:space="0" w:color="auto"/>
              <w:right w:val="single" w:sz="4" w:space="0" w:color="auto"/>
            </w:tcBorders>
            <w:vAlign w:val="center"/>
          </w:tcPr>
          <w:p w14:paraId="12849491" w14:textId="77777777" w:rsidR="00F10A03" w:rsidRPr="00F10A03" w:rsidRDefault="00F10A03" w:rsidP="00F10A03">
            <w:pPr>
              <w:spacing w:after="0" w:line="240" w:lineRule="auto"/>
              <w:rPr>
                <w:rFonts w:ascii="Times New Roman" w:eastAsia="Times New Roman" w:hAnsi="Times New Roman" w:cs="Times New Roman"/>
                <w:color w:val="000000"/>
                <w:sz w:val="20"/>
                <w:szCs w:val="20"/>
                <w:highlight w:val="red"/>
                <w:lang w:eastAsia="hr-HR"/>
              </w:rPr>
            </w:pPr>
          </w:p>
        </w:tc>
        <w:tc>
          <w:tcPr>
            <w:tcW w:w="567" w:type="dxa"/>
            <w:vMerge/>
            <w:tcBorders>
              <w:top w:val="nil"/>
              <w:left w:val="single" w:sz="4" w:space="0" w:color="auto"/>
              <w:bottom w:val="single" w:sz="4" w:space="0" w:color="auto"/>
              <w:right w:val="single" w:sz="4" w:space="0" w:color="auto"/>
            </w:tcBorders>
            <w:vAlign w:val="center"/>
          </w:tcPr>
          <w:p w14:paraId="03444D0E" w14:textId="77777777" w:rsidR="00F10A03" w:rsidRPr="00F10A03" w:rsidRDefault="00F10A03" w:rsidP="00F10A03">
            <w:pPr>
              <w:spacing w:after="0" w:line="240" w:lineRule="auto"/>
              <w:rPr>
                <w:rFonts w:ascii="Times New Roman" w:eastAsia="Times New Roman" w:hAnsi="Times New Roman" w:cs="Times New Roman"/>
                <w:color w:val="000000"/>
                <w:sz w:val="20"/>
                <w:szCs w:val="20"/>
                <w:highlight w:val="red"/>
                <w:lang w:eastAsia="hr-HR"/>
              </w:rPr>
            </w:pPr>
          </w:p>
        </w:tc>
        <w:tc>
          <w:tcPr>
            <w:tcW w:w="709" w:type="dxa"/>
            <w:vMerge/>
            <w:tcBorders>
              <w:top w:val="nil"/>
              <w:left w:val="single" w:sz="4" w:space="0" w:color="auto"/>
              <w:bottom w:val="single" w:sz="4" w:space="0" w:color="auto"/>
              <w:right w:val="single" w:sz="4" w:space="0" w:color="auto"/>
            </w:tcBorders>
            <w:vAlign w:val="center"/>
          </w:tcPr>
          <w:p w14:paraId="6E4CC569" w14:textId="77777777" w:rsidR="00F10A03" w:rsidRPr="00F10A03" w:rsidRDefault="00F10A03" w:rsidP="00F10A03">
            <w:pPr>
              <w:spacing w:after="0" w:line="240" w:lineRule="auto"/>
              <w:rPr>
                <w:rFonts w:ascii="Times New Roman" w:eastAsia="Times New Roman" w:hAnsi="Times New Roman" w:cs="Times New Roman"/>
                <w:color w:val="000000"/>
                <w:sz w:val="20"/>
                <w:szCs w:val="20"/>
                <w:highlight w:val="red"/>
                <w:lang w:eastAsia="hr-HR"/>
              </w:rPr>
            </w:pPr>
          </w:p>
        </w:tc>
        <w:tc>
          <w:tcPr>
            <w:tcW w:w="709" w:type="dxa"/>
            <w:vMerge/>
            <w:tcBorders>
              <w:top w:val="nil"/>
              <w:left w:val="single" w:sz="4" w:space="0" w:color="auto"/>
              <w:bottom w:val="single" w:sz="4" w:space="0" w:color="auto"/>
              <w:right w:val="single" w:sz="4" w:space="0" w:color="auto"/>
            </w:tcBorders>
            <w:vAlign w:val="center"/>
          </w:tcPr>
          <w:p w14:paraId="123E3740" w14:textId="77777777" w:rsidR="00F10A03" w:rsidRPr="00F10A03" w:rsidRDefault="00F10A03" w:rsidP="00F10A03">
            <w:pPr>
              <w:spacing w:after="0" w:line="240" w:lineRule="auto"/>
              <w:rPr>
                <w:rFonts w:ascii="Times New Roman" w:eastAsia="Times New Roman" w:hAnsi="Times New Roman" w:cs="Times New Roman"/>
                <w:color w:val="000000"/>
                <w:sz w:val="20"/>
                <w:szCs w:val="20"/>
                <w:highlight w:val="red"/>
                <w:lang w:eastAsia="hr-HR"/>
              </w:rPr>
            </w:pPr>
          </w:p>
        </w:tc>
        <w:tc>
          <w:tcPr>
            <w:tcW w:w="567" w:type="dxa"/>
            <w:vMerge/>
            <w:tcBorders>
              <w:top w:val="nil"/>
              <w:left w:val="single" w:sz="4" w:space="0" w:color="auto"/>
              <w:bottom w:val="single" w:sz="4" w:space="0" w:color="auto"/>
              <w:right w:val="single" w:sz="4" w:space="0" w:color="auto"/>
            </w:tcBorders>
            <w:vAlign w:val="center"/>
          </w:tcPr>
          <w:p w14:paraId="77DA3E3B" w14:textId="77777777" w:rsidR="00F10A03" w:rsidRPr="00F10A03" w:rsidRDefault="00F10A03" w:rsidP="00F10A03">
            <w:pPr>
              <w:spacing w:after="0" w:line="240" w:lineRule="auto"/>
              <w:rPr>
                <w:rFonts w:ascii="Times New Roman" w:eastAsia="Times New Roman" w:hAnsi="Times New Roman" w:cs="Times New Roman"/>
                <w:color w:val="000000"/>
                <w:sz w:val="20"/>
                <w:szCs w:val="20"/>
                <w:highlight w:val="red"/>
                <w:lang w:eastAsia="hr-HR"/>
              </w:rPr>
            </w:pPr>
          </w:p>
        </w:tc>
        <w:tc>
          <w:tcPr>
            <w:tcW w:w="708" w:type="dxa"/>
            <w:vMerge/>
            <w:tcBorders>
              <w:top w:val="nil"/>
              <w:left w:val="single" w:sz="4" w:space="0" w:color="auto"/>
              <w:bottom w:val="single" w:sz="4" w:space="0" w:color="auto"/>
              <w:right w:val="single" w:sz="4" w:space="0" w:color="auto"/>
            </w:tcBorders>
            <w:vAlign w:val="center"/>
          </w:tcPr>
          <w:p w14:paraId="0A924F2E" w14:textId="77777777" w:rsidR="00F10A03" w:rsidRPr="00F10A03" w:rsidRDefault="00F10A03" w:rsidP="00F10A03">
            <w:pPr>
              <w:spacing w:after="0" w:line="240" w:lineRule="auto"/>
              <w:rPr>
                <w:rFonts w:ascii="Times New Roman" w:eastAsia="Times New Roman" w:hAnsi="Times New Roman" w:cs="Times New Roman"/>
                <w:color w:val="000000"/>
                <w:sz w:val="20"/>
                <w:szCs w:val="20"/>
                <w:highlight w:val="red"/>
                <w:lang w:eastAsia="hr-HR"/>
              </w:rPr>
            </w:pPr>
          </w:p>
        </w:tc>
      </w:tr>
      <w:tr w:rsidR="00F10A03" w:rsidRPr="00F10A03" w14:paraId="108BE842" w14:textId="77777777" w:rsidTr="00F10A03">
        <w:trPr>
          <w:trHeight w:val="300"/>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1A6E53B3" w14:textId="77777777" w:rsidR="00F10A03" w:rsidRPr="00F10A03" w:rsidRDefault="00F10A03" w:rsidP="00F10A03">
            <w:pPr>
              <w:spacing w:after="0" w:line="240" w:lineRule="auto"/>
              <w:rPr>
                <w:rFonts w:ascii="Times New Roman" w:eastAsia="Times New Roman" w:hAnsi="Times New Roman" w:cs="Times New Roman"/>
                <w:color w:val="000000"/>
                <w:sz w:val="20"/>
                <w:szCs w:val="20"/>
                <w:lang w:eastAsia="hr-HR"/>
              </w:rPr>
            </w:pPr>
            <w:r w:rsidRPr="00F10A03">
              <w:rPr>
                <w:rFonts w:ascii="Times New Roman" w:eastAsia="Times New Roman" w:hAnsi="Times New Roman" w:cs="Times New Roman"/>
                <w:color w:val="000000"/>
                <w:sz w:val="20"/>
                <w:szCs w:val="20"/>
                <w:lang w:eastAsia="hr-HR"/>
              </w:rPr>
              <w:t xml:space="preserve">INOZEMNI FOJ </w:t>
            </w:r>
          </w:p>
        </w:tc>
        <w:tc>
          <w:tcPr>
            <w:tcW w:w="850" w:type="dxa"/>
            <w:tcBorders>
              <w:top w:val="nil"/>
              <w:left w:val="nil"/>
              <w:bottom w:val="single" w:sz="4" w:space="0" w:color="auto"/>
              <w:right w:val="single" w:sz="4" w:space="0" w:color="auto"/>
            </w:tcBorders>
            <w:shd w:val="clear" w:color="auto" w:fill="auto"/>
            <w:vAlign w:val="center"/>
            <w:hideMark/>
          </w:tcPr>
          <w:p w14:paraId="158DC46F" w14:textId="77777777" w:rsidR="00F10A03" w:rsidRPr="00F10A03" w:rsidRDefault="00F10A03" w:rsidP="00F10A03">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Times New Roman" w:hAnsi="Times New Roman" w:cs="Times New Roman"/>
                <w:color w:val="000000"/>
                <w:sz w:val="20"/>
                <w:szCs w:val="20"/>
                <w:lang w:eastAsia="hr-HR"/>
              </w:rPr>
              <w:t>141</w:t>
            </w:r>
          </w:p>
        </w:tc>
        <w:tc>
          <w:tcPr>
            <w:tcW w:w="709" w:type="dxa"/>
            <w:tcBorders>
              <w:top w:val="nil"/>
              <w:left w:val="nil"/>
              <w:bottom w:val="single" w:sz="4" w:space="0" w:color="auto"/>
              <w:right w:val="single" w:sz="4" w:space="0" w:color="auto"/>
            </w:tcBorders>
            <w:shd w:val="clear" w:color="auto" w:fill="auto"/>
            <w:vAlign w:val="center"/>
            <w:hideMark/>
          </w:tcPr>
          <w:p w14:paraId="7AB597F5" w14:textId="77777777" w:rsidR="00F10A03" w:rsidRPr="00F10A03" w:rsidRDefault="00F10A03" w:rsidP="00F10A03">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Times New Roman" w:hAnsi="Times New Roman" w:cs="Times New Roman"/>
                <w:color w:val="000000"/>
                <w:sz w:val="20"/>
                <w:szCs w:val="20"/>
                <w:lang w:eastAsia="hr-HR"/>
              </w:rPr>
              <w:t>1</w:t>
            </w:r>
          </w:p>
        </w:tc>
        <w:tc>
          <w:tcPr>
            <w:tcW w:w="851" w:type="dxa"/>
            <w:vMerge/>
            <w:tcBorders>
              <w:top w:val="nil"/>
              <w:left w:val="single" w:sz="4" w:space="0" w:color="auto"/>
              <w:bottom w:val="single" w:sz="4" w:space="0" w:color="auto"/>
              <w:right w:val="single" w:sz="4" w:space="0" w:color="auto"/>
            </w:tcBorders>
            <w:vAlign w:val="center"/>
            <w:hideMark/>
          </w:tcPr>
          <w:p w14:paraId="239396B4" w14:textId="77777777" w:rsidR="00F10A03" w:rsidRPr="00F10A03" w:rsidRDefault="00F10A03" w:rsidP="00F10A03">
            <w:pPr>
              <w:spacing w:after="0" w:line="240" w:lineRule="auto"/>
              <w:rPr>
                <w:rFonts w:ascii="Times New Roman" w:eastAsia="Times New Roman" w:hAnsi="Times New Roman" w:cs="Times New Roman"/>
                <w:color w:val="000000"/>
                <w:sz w:val="20"/>
                <w:szCs w:val="20"/>
                <w:lang w:eastAsia="hr-HR"/>
              </w:rPr>
            </w:pPr>
          </w:p>
        </w:tc>
        <w:tc>
          <w:tcPr>
            <w:tcW w:w="850" w:type="dxa"/>
            <w:vMerge/>
            <w:tcBorders>
              <w:top w:val="nil"/>
              <w:left w:val="single" w:sz="4" w:space="0" w:color="auto"/>
              <w:bottom w:val="single" w:sz="4" w:space="0" w:color="auto"/>
              <w:right w:val="single" w:sz="4" w:space="0" w:color="auto"/>
            </w:tcBorders>
            <w:vAlign w:val="center"/>
            <w:hideMark/>
          </w:tcPr>
          <w:p w14:paraId="7009453D" w14:textId="77777777" w:rsidR="00F10A03" w:rsidRPr="00F10A03" w:rsidRDefault="00F10A03" w:rsidP="00F10A03">
            <w:pPr>
              <w:spacing w:after="0" w:line="240" w:lineRule="auto"/>
              <w:rPr>
                <w:rFonts w:ascii="Times New Roman" w:eastAsia="Times New Roman" w:hAnsi="Times New Roman" w:cs="Times New Roman"/>
                <w:color w:val="000000"/>
                <w:sz w:val="20"/>
                <w:szCs w:val="20"/>
                <w:lang w:eastAsia="hr-HR"/>
              </w:rPr>
            </w:pPr>
          </w:p>
        </w:tc>
        <w:tc>
          <w:tcPr>
            <w:tcW w:w="567" w:type="dxa"/>
            <w:vMerge/>
            <w:tcBorders>
              <w:top w:val="nil"/>
              <w:left w:val="single" w:sz="4" w:space="0" w:color="auto"/>
              <w:bottom w:val="single" w:sz="4" w:space="0" w:color="auto"/>
              <w:right w:val="single" w:sz="4" w:space="0" w:color="auto"/>
            </w:tcBorders>
            <w:vAlign w:val="center"/>
          </w:tcPr>
          <w:p w14:paraId="2EB22ACD" w14:textId="77777777" w:rsidR="00F10A03" w:rsidRPr="00F10A03" w:rsidRDefault="00F10A03" w:rsidP="00F10A03">
            <w:pPr>
              <w:spacing w:after="0" w:line="240" w:lineRule="auto"/>
              <w:rPr>
                <w:rFonts w:ascii="Times New Roman" w:eastAsia="Times New Roman" w:hAnsi="Times New Roman" w:cs="Times New Roman"/>
                <w:color w:val="000000"/>
                <w:sz w:val="20"/>
                <w:szCs w:val="20"/>
                <w:highlight w:val="red"/>
                <w:lang w:eastAsia="hr-HR"/>
              </w:rPr>
            </w:pPr>
          </w:p>
        </w:tc>
        <w:tc>
          <w:tcPr>
            <w:tcW w:w="567" w:type="dxa"/>
            <w:vMerge/>
            <w:tcBorders>
              <w:top w:val="nil"/>
              <w:left w:val="single" w:sz="4" w:space="0" w:color="auto"/>
              <w:bottom w:val="single" w:sz="4" w:space="0" w:color="auto"/>
              <w:right w:val="single" w:sz="4" w:space="0" w:color="auto"/>
            </w:tcBorders>
            <w:vAlign w:val="center"/>
          </w:tcPr>
          <w:p w14:paraId="0420B4D9" w14:textId="77777777" w:rsidR="00F10A03" w:rsidRPr="00F10A03" w:rsidRDefault="00F10A03" w:rsidP="00F10A03">
            <w:pPr>
              <w:spacing w:after="0" w:line="240" w:lineRule="auto"/>
              <w:rPr>
                <w:rFonts w:ascii="Times New Roman" w:eastAsia="Times New Roman" w:hAnsi="Times New Roman" w:cs="Times New Roman"/>
                <w:color w:val="000000"/>
                <w:sz w:val="20"/>
                <w:szCs w:val="20"/>
                <w:highlight w:val="red"/>
                <w:lang w:eastAsia="hr-HR"/>
              </w:rPr>
            </w:pPr>
          </w:p>
        </w:tc>
        <w:tc>
          <w:tcPr>
            <w:tcW w:w="709" w:type="dxa"/>
            <w:vMerge/>
            <w:tcBorders>
              <w:top w:val="nil"/>
              <w:left w:val="single" w:sz="4" w:space="0" w:color="auto"/>
              <w:bottom w:val="single" w:sz="4" w:space="0" w:color="auto"/>
              <w:right w:val="single" w:sz="4" w:space="0" w:color="auto"/>
            </w:tcBorders>
            <w:vAlign w:val="center"/>
          </w:tcPr>
          <w:p w14:paraId="75C6890C" w14:textId="77777777" w:rsidR="00F10A03" w:rsidRPr="00F10A03" w:rsidRDefault="00F10A03" w:rsidP="00F10A03">
            <w:pPr>
              <w:spacing w:after="0" w:line="240" w:lineRule="auto"/>
              <w:rPr>
                <w:rFonts w:ascii="Times New Roman" w:eastAsia="Times New Roman" w:hAnsi="Times New Roman" w:cs="Times New Roman"/>
                <w:color w:val="000000"/>
                <w:sz w:val="20"/>
                <w:szCs w:val="20"/>
                <w:highlight w:val="red"/>
                <w:lang w:eastAsia="hr-HR"/>
              </w:rPr>
            </w:pPr>
          </w:p>
        </w:tc>
        <w:tc>
          <w:tcPr>
            <w:tcW w:w="709" w:type="dxa"/>
            <w:vMerge/>
            <w:tcBorders>
              <w:top w:val="nil"/>
              <w:left w:val="single" w:sz="4" w:space="0" w:color="auto"/>
              <w:bottom w:val="single" w:sz="4" w:space="0" w:color="auto"/>
              <w:right w:val="single" w:sz="4" w:space="0" w:color="auto"/>
            </w:tcBorders>
            <w:vAlign w:val="center"/>
          </w:tcPr>
          <w:p w14:paraId="5C84959B" w14:textId="77777777" w:rsidR="00F10A03" w:rsidRPr="00F10A03" w:rsidRDefault="00F10A03" w:rsidP="00F10A03">
            <w:pPr>
              <w:spacing w:after="0" w:line="240" w:lineRule="auto"/>
              <w:rPr>
                <w:rFonts w:ascii="Times New Roman" w:eastAsia="Times New Roman" w:hAnsi="Times New Roman" w:cs="Times New Roman"/>
                <w:color w:val="000000"/>
                <w:sz w:val="20"/>
                <w:szCs w:val="20"/>
                <w:highlight w:val="red"/>
                <w:lang w:eastAsia="hr-HR"/>
              </w:rPr>
            </w:pPr>
          </w:p>
        </w:tc>
        <w:tc>
          <w:tcPr>
            <w:tcW w:w="567" w:type="dxa"/>
            <w:vMerge/>
            <w:tcBorders>
              <w:top w:val="nil"/>
              <w:left w:val="single" w:sz="4" w:space="0" w:color="auto"/>
              <w:bottom w:val="single" w:sz="4" w:space="0" w:color="auto"/>
              <w:right w:val="single" w:sz="4" w:space="0" w:color="auto"/>
            </w:tcBorders>
            <w:vAlign w:val="center"/>
          </w:tcPr>
          <w:p w14:paraId="656C4C13" w14:textId="77777777" w:rsidR="00F10A03" w:rsidRPr="00F10A03" w:rsidRDefault="00F10A03" w:rsidP="00F10A03">
            <w:pPr>
              <w:spacing w:after="0" w:line="240" w:lineRule="auto"/>
              <w:rPr>
                <w:rFonts w:ascii="Times New Roman" w:eastAsia="Times New Roman" w:hAnsi="Times New Roman" w:cs="Times New Roman"/>
                <w:color w:val="000000"/>
                <w:sz w:val="20"/>
                <w:szCs w:val="20"/>
                <w:highlight w:val="red"/>
                <w:lang w:eastAsia="hr-HR"/>
              </w:rPr>
            </w:pPr>
          </w:p>
        </w:tc>
        <w:tc>
          <w:tcPr>
            <w:tcW w:w="708" w:type="dxa"/>
            <w:vMerge/>
            <w:tcBorders>
              <w:top w:val="nil"/>
              <w:left w:val="single" w:sz="4" w:space="0" w:color="auto"/>
              <w:bottom w:val="single" w:sz="4" w:space="0" w:color="auto"/>
              <w:right w:val="single" w:sz="4" w:space="0" w:color="auto"/>
            </w:tcBorders>
            <w:vAlign w:val="center"/>
          </w:tcPr>
          <w:p w14:paraId="06AF5CE8" w14:textId="77777777" w:rsidR="00F10A03" w:rsidRPr="00F10A03" w:rsidRDefault="00F10A03" w:rsidP="00F10A03">
            <w:pPr>
              <w:spacing w:after="0" w:line="240" w:lineRule="auto"/>
              <w:rPr>
                <w:rFonts w:ascii="Times New Roman" w:eastAsia="Times New Roman" w:hAnsi="Times New Roman" w:cs="Times New Roman"/>
                <w:color w:val="000000"/>
                <w:sz w:val="20"/>
                <w:szCs w:val="20"/>
                <w:highlight w:val="red"/>
                <w:lang w:eastAsia="hr-HR"/>
              </w:rPr>
            </w:pPr>
          </w:p>
        </w:tc>
      </w:tr>
      <w:tr w:rsidR="00F10A03" w:rsidRPr="00F10A03" w14:paraId="4CA0F3CB" w14:textId="77777777" w:rsidTr="00F10A03">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259D363" w14:textId="77777777" w:rsidR="00F10A03" w:rsidRPr="00F10A03" w:rsidRDefault="00F10A03" w:rsidP="00F10A03">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UKUPNO</w:t>
            </w:r>
          </w:p>
        </w:tc>
        <w:tc>
          <w:tcPr>
            <w:tcW w:w="850" w:type="dxa"/>
            <w:tcBorders>
              <w:top w:val="nil"/>
              <w:left w:val="nil"/>
              <w:bottom w:val="single" w:sz="4" w:space="0" w:color="auto"/>
              <w:right w:val="single" w:sz="4" w:space="0" w:color="auto"/>
            </w:tcBorders>
            <w:shd w:val="clear" w:color="auto" w:fill="auto"/>
            <w:vAlign w:val="center"/>
            <w:hideMark/>
          </w:tcPr>
          <w:p w14:paraId="2B0F6BA3" w14:textId="77777777" w:rsidR="00F10A03" w:rsidRPr="00F10A03" w:rsidRDefault="00F10A03" w:rsidP="00F10A03">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Times New Roman" w:hAnsi="Times New Roman" w:cs="Times New Roman"/>
                <w:b/>
                <w:bCs/>
                <w:color w:val="000000"/>
                <w:sz w:val="20"/>
                <w:szCs w:val="20"/>
                <w:lang w:eastAsia="hr-HR"/>
              </w:rPr>
              <w:t>480</w:t>
            </w:r>
          </w:p>
        </w:tc>
        <w:tc>
          <w:tcPr>
            <w:tcW w:w="709" w:type="dxa"/>
            <w:tcBorders>
              <w:top w:val="nil"/>
              <w:left w:val="nil"/>
              <w:bottom w:val="single" w:sz="4" w:space="0" w:color="auto"/>
              <w:right w:val="single" w:sz="4" w:space="0" w:color="auto"/>
            </w:tcBorders>
            <w:shd w:val="clear" w:color="auto" w:fill="auto"/>
            <w:vAlign w:val="center"/>
            <w:hideMark/>
          </w:tcPr>
          <w:p w14:paraId="09A10A8F" w14:textId="77777777" w:rsidR="00F10A03" w:rsidRPr="00F10A03" w:rsidRDefault="00F10A03" w:rsidP="00F10A03">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Times New Roman" w:hAnsi="Times New Roman" w:cs="Times New Roman"/>
                <w:b/>
                <w:bCs/>
                <w:color w:val="000000"/>
                <w:sz w:val="20"/>
                <w:szCs w:val="20"/>
                <w:lang w:eastAsia="hr-HR"/>
              </w:rPr>
              <w:t>8</w:t>
            </w:r>
          </w:p>
        </w:tc>
        <w:tc>
          <w:tcPr>
            <w:tcW w:w="851" w:type="dxa"/>
            <w:vMerge/>
            <w:tcBorders>
              <w:top w:val="nil"/>
              <w:left w:val="single" w:sz="4" w:space="0" w:color="auto"/>
              <w:bottom w:val="single" w:sz="4" w:space="0" w:color="auto"/>
              <w:right w:val="single" w:sz="4" w:space="0" w:color="auto"/>
            </w:tcBorders>
            <w:vAlign w:val="center"/>
            <w:hideMark/>
          </w:tcPr>
          <w:p w14:paraId="021EC839" w14:textId="77777777" w:rsidR="00F10A03" w:rsidRPr="00F10A03" w:rsidRDefault="00F10A03" w:rsidP="00F10A03">
            <w:pPr>
              <w:spacing w:after="0" w:line="240" w:lineRule="auto"/>
              <w:rPr>
                <w:rFonts w:ascii="Times New Roman" w:eastAsia="Times New Roman" w:hAnsi="Times New Roman" w:cs="Times New Roman"/>
                <w:color w:val="000000"/>
                <w:sz w:val="20"/>
                <w:szCs w:val="20"/>
                <w:lang w:eastAsia="hr-HR"/>
              </w:rPr>
            </w:pPr>
          </w:p>
        </w:tc>
        <w:tc>
          <w:tcPr>
            <w:tcW w:w="850" w:type="dxa"/>
            <w:vMerge/>
            <w:tcBorders>
              <w:top w:val="nil"/>
              <w:left w:val="single" w:sz="4" w:space="0" w:color="auto"/>
              <w:bottom w:val="single" w:sz="4" w:space="0" w:color="auto"/>
              <w:right w:val="single" w:sz="4" w:space="0" w:color="auto"/>
            </w:tcBorders>
            <w:vAlign w:val="center"/>
            <w:hideMark/>
          </w:tcPr>
          <w:p w14:paraId="71F3F5FD" w14:textId="77777777" w:rsidR="00F10A03" w:rsidRPr="00F10A03" w:rsidRDefault="00F10A03" w:rsidP="00F10A03">
            <w:pPr>
              <w:spacing w:after="0" w:line="240" w:lineRule="auto"/>
              <w:rPr>
                <w:rFonts w:ascii="Times New Roman" w:eastAsia="Times New Roman" w:hAnsi="Times New Roman" w:cs="Times New Roman"/>
                <w:color w:val="000000"/>
                <w:sz w:val="20"/>
                <w:szCs w:val="20"/>
                <w:lang w:eastAsia="hr-HR"/>
              </w:rPr>
            </w:pPr>
          </w:p>
        </w:tc>
        <w:tc>
          <w:tcPr>
            <w:tcW w:w="567" w:type="dxa"/>
            <w:vMerge/>
            <w:tcBorders>
              <w:top w:val="nil"/>
              <w:left w:val="single" w:sz="4" w:space="0" w:color="auto"/>
              <w:bottom w:val="single" w:sz="4" w:space="0" w:color="auto"/>
              <w:right w:val="single" w:sz="4" w:space="0" w:color="auto"/>
            </w:tcBorders>
            <w:vAlign w:val="center"/>
          </w:tcPr>
          <w:p w14:paraId="3730EF76" w14:textId="77777777" w:rsidR="00F10A03" w:rsidRPr="00F10A03" w:rsidRDefault="00F10A03" w:rsidP="00F10A03">
            <w:pPr>
              <w:spacing w:after="0" w:line="240" w:lineRule="auto"/>
              <w:rPr>
                <w:rFonts w:ascii="Times New Roman" w:eastAsia="Times New Roman" w:hAnsi="Times New Roman" w:cs="Times New Roman"/>
                <w:color w:val="000000"/>
                <w:sz w:val="20"/>
                <w:szCs w:val="20"/>
                <w:highlight w:val="red"/>
                <w:lang w:eastAsia="hr-HR"/>
              </w:rPr>
            </w:pPr>
          </w:p>
        </w:tc>
        <w:tc>
          <w:tcPr>
            <w:tcW w:w="567" w:type="dxa"/>
            <w:vMerge/>
            <w:tcBorders>
              <w:top w:val="nil"/>
              <w:left w:val="single" w:sz="4" w:space="0" w:color="auto"/>
              <w:bottom w:val="single" w:sz="4" w:space="0" w:color="auto"/>
              <w:right w:val="single" w:sz="4" w:space="0" w:color="auto"/>
            </w:tcBorders>
            <w:vAlign w:val="center"/>
          </w:tcPr>
          <w:p w14:paraId="6B5F58B5" w14:textId="77777777" w:rsidR="00F10A03" w:rsidRPr="00F10A03" w:rsidRDefault="00F10A03" w:rsidP="00F10A03">
            <w:pPr>
              <w:spacing w:after="0" w:line="240" w:lineRule="auto"/>
              <w:rPr>
                <w:rFonts w:ascii="Times New Roman" w:eastAsia="Times New Roman" w:hAnsi="Times New Roman" w:cs="Times New Roman"/>
                <w:color w:val="000000"/>
                <w:sz w:val="20"/>
                <w:szCs w:val="20"/>
                <w:highlight w:val="red"/>
                <w:lang w:eastAsia="hr-HR"/>
              </w:rPr>
            </w:pPr>
          </w:p>
        </w:tc>
        <w:tc>
          <w:tcPr>
            <w:tcW w:w="709" w:type="dxa"/>
            <w:vMerge/>
            <w:tcBorders>
              <w:top w:val="nil"/>
              <w:left w:val="single" w:sz="4" w:space="0" w:color="auto"/>
              <w:bottom w:val="single" w:sz="4" w:space="0" w:color="auto"/>
              <w:right w:val="single" w:sz="4" w:space="0" w:color="auto"/>
            </w:tcBorders>
            <w:vAlign w:val="center"/>
          </w:tcPr>
          <w:p w14:paraId="43DB0599" w14:textId="77777777" w:rsidR="00F10A03" w:rsidRPr="00F10A03" w:rsidRDefault="00F10A03" w:rsidP="00F10A03">
            <w:pPr>
              <w:spacing w:after="0" w:line="240" w:lineRule="auto"/>
              <w:rPr>
                <w:rFonts w:ascii="Times New Roman" w:eastAsia="Times New Roman" w:hAnsi="Times New Roman" w:cs="Times New Roman"/>
                <w:color w:val="000000"/>
                <w:sz w:val="20"/>
                <w:szCs w:val="20"/>
                <w:highlight w:val="red"/>
                <w:lang w:eastAsia="hr-HR"/>
              </w:rPr>
            </w:pPr>
          </w:p>
        </w:tc>
        <w:tc>
          <w:tcPr>
            <w:tcW w:w="709" w:type="dxa"/>
            <w:vMerge/>
            <w:tcBorders>
              <w:top w:val="nil"/>
              <w:left w:val="single" w:sz="4" w:space="0" w:color="auto"/>
              <w:bottom w:val="single" w:sz="4" w:space="0" w:color="auto"/>
              <w:right w:val="single" w:sz="4" w:space="0" w:color="auto"/>
            </w:tcBorders>
            <w:vAlign w:val="center"/>
          </w:tcPr>
          <w:p w14:paraId="4472A383" w14:textId="77777777" w:rsidR="00F10A03" w:rsidRPr="00F10A03" w:rsidRDefault="00F10A03" w:rsidP="00F10A03">
            <w:pPr>
              <w:spacing w:after="0" w:line="240" w:lineRule="auto"/>
              <w:rPr>
                <w:rFonts w:ascii="Times New Roman" w:eastAsia="Times New Roman" w:hAnsi="Times New Roman" w:cs="Times New Roman"/>
                <w:color w:val="000000"/>
                <w:sz w:val="20"/>
                <w:szCs w:val="20"/>
                <w:highlight w:val="red"/>
                <w:lang w:eastAsia="hr-HR"/>
              </w:rPr>
            </w:pPr>
          </w:p>
        </w:tc>
        <w:tc>
          <w:tcPr>
            <w:tcW w:w="567" w:type="dxa"/>
            <w:vMerge/>
            <w:tcBorders>
              <w:top w:val="nil"/>
              <w:left w:val="single" w:sz="4" w:space="0" w:color="auto"/>
              <w:bottom w:val="single" w:sz="4" w:space="0" w:color="auto"/>
              <w:right w:val="single" w:sz="4" w:space="0" w:color="auto"/>
            </w:tcBorders>
            <w:vAlign w:val="center"/>
          </w:tcPr>
          <w:p w14:paraId="7CF7A5C3" w14:textId="77777777" w:rsidR="00F10A03" w:rsidRPr="00F10A03" w:rsidRDefault="00F10A03" w:rsidP="00F10A03">
            <w:pPr>
              <w:spacing w:after="0" w:line="240" w:lineRule="auto"/>
              <w:rPr>
                <w:rFonts w:ascii="Times New Roman" w:eastAsia="Times New Roman" w:hAnsi="Times New Roman" w:cs="Times New Roman"/>
                <w:color w:val="000000"/>
                <w:sz w:val="20"/>
                <w:szCs w:val="20"/>
                <w:highlight w:val="red"/>
                <w:lang w:eastAsia="hr-HR"/>
              </w:rPr>
            </w:pPr>
          </w:p>
        </w:tc>
        <w:tc>
          <w:tcPr>
            <w:tcW w:w="708" w:type="dxa"/>
            <w:vMerge/>
            <w:tcBorders>
              <w:top w:val="nil"/>
              <w:left w:val="single" w:sz="4" w:space="0" w:color="auto"/>
              <w:bottom w:val="single" w:sz="4" w:space="0" w:color="auto"/>
              <w:right w:val="single" w:sz="4" w:space="0" w:color="auto"/>
            </w:tcBorders>
            <w:vAlign w:val="center"/>
          </w:tcPr>
          <w:p w14:paraId="439F2D7D" w14:textId="77777777" w:rsidR="00F10A03" w:rsidRPr="00F10A03" w:rsidRDefault="00F10A03" w:rsidP="00F10A03">
            <w:pPr>
              <w:spacing w:after="0" w:line="240" w:lineRule="auto"/>
              <w:rPr>
                <w:rFonts w:ascii="Times New Roman" w:eastAsia="Times New Roman" w:hAnsi="Times New Roman" w:cs="Times New Roman"/>
                <w:color w:val="000000"/>
                <w:sz w:val="20"/>
                <w:szCs w:val="20"/>
                <w:highlight w:val="red"/>
                <w:lang w:eastAsia="hr-HR"/>
              </w:rPr>
            </w:pPr>
          </w:p>
        </w:tc>
      </w:tr>
      <w:tr w:rsidR="00F10A03" w:rsidRPr="00F10A03" w14:paraId="5F3174F7" w14:textId="77777777" w:rsidTr="00F10A03">
        <w:trPr>
          <w:trHeight w:val="300"/>
        </w:trPr>
        <w:tc>
          <w:tcPr>
            <w:tcW w:w="19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5B5955A" w14:textId="77777777" w:rsidR="00F10A03" w:rsidRPr="00F10A03" w:rsidRDefault="00F10A03" w:rsidP="00F10A03">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UKUPNO</w:t>
            </w:r>
          </w:p>
        </w:tc>
        <w:tc>
          <w:tcPr>
            <w:tcW w:w="1559"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22F7909" w14:textId="77777777" w:rsidR="00F10A03" w:rsidRPr="00F10A03" w:rsidRDefault="00F10A03" w:rsidP="00F10A03">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Times New Roman" w:hAnsi="Times New Roman" w:cs="Times New Roman"/>
                <w:b/>
                <w:bCs/>
                <w:color w:val="000000"/>
                <w:sz w:val="20"/>
                <w:szCs w:val="20"/>
                <w:lang w:eastAsia="hr-HR"/>
              </w:rPr>
              <w:t>488</w:t>
            </w:r>
          </w:p>
        </w:tc>
        <w:tc>
          <w:tcPr>
            <w:tcW w:w="1701"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24311DA" w14:textId="77777777" w:rsidR="00F10A03" w:rsidRPr="00F10A03" w:rsidRDefault="00F10A03" w:rsidP="00F10A03">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294</w:t>
            </w:r>
          </w:p>
        </w:tc>
        <w:tc>
          <w:tcPr>
            <w:tcW w:w="113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4210D241" w14:textId="77777777" w:rsidR="00F10A03" w:rsidRPr="00F10A03" w:rsidRDefault="00F10A03" w:rsidP="00F10A03">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Times New Roman" w:hAnsi="Times New Roman" w:cs="Times New Roman"/>
                <w:b/>
                <w:bCs/>
                <w:color w:val="000000"/>
                <w:sz w:val="20"/>
                <w:szCs w:val="20"/>
                <w:lang w:eastAsia="hr-HR"/>
              </w:rPr>
              <w:t>26</w:t>
            </w:r>
          </w:p>
        </w:tc>
        <w:tc>
          <w:tcPr>
            <w:tcW w:w="1418"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1A5EDD55" w14:textId="77777777" w:rsidR="00F10A03" w:rsidRPr="00F10A03" w:rsidRDefault="00F10A03" w:rsidP="00F10A03">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Times New Roman" w:hAnsi="Times New Roman" w:cs="Times New Roman"/>
                <w:b/>
                <w:bCs/>
                <w:color w:val="000000"/>
                <w:sz w:val="20"/>
                <w:szCs w:val="20"/>
                <w:lang w:eastAsia="hr-HR"/>
              </w:rPr>
              <w:t>12</w:t>
            </w:r>
          </w:p>
        </w:tc>
        <w:tc>
          <w:tcPr>
            <w:tcW w:w="1275"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445DD7ED" w14:textId="77777777" w:rsidR="00F10A03" w:rsidRPr="00F10A03" w:rsidRDefault="00F10A03" w:rsidP="00F10A03">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Times New Roman" w:hAnsi="Times New Roman" w:cs="Times New Roman"/>
                <w:b/>
                <w:bCs/>
                <w:color w:val="000000"/>
                <w:sz w:val="20"/>
                <w:szCs w:val="20"/>
                <w:lang w:eastAsia="hr-HR"/>
              </w:rPr>
              <w:t>3</w:t>
            </w:r>
          </w:p>
        </w:tc>
      </w:tr>
    </w:tbl>
    <w:p w14:paraId="7D5C4EC8" w14:textId="5E4A4E64" w:rsidR="00F30F6B" w:rsidRPr="00B9003E" w:rsidRDefault="00F30F6B" w:rsidP="00F30F6B">
      <w:pPr>
        <w:spacing w:after="0" w:line="240" w:lineRule="auto"/>
        <w:jc w:val="both"/>
        <w:rPr>
          <w:rFonts w:ascii="Times New Roman" w:eastAsia="Calibri" w:hAnsi="Times New Roman" w:cs="Times New Roman"/>
          <w:sz w:val="24"/>
          <w:szCs w:val="24"/>
          <w:u w:val="single"/>
        </w:rPr>
      </w:pPr>
      <w:r>
        <w:fldChar w:fldCharType="begin"/>
      </w:r>
      <w:r>
        <w:instrText xml:space="preserve"> LINK </w:instrText>
      </w:r>
      <w:r w:rsidR="008737E8">
        <w:instrText xml:space="preserve">Excel.Sheet.12 "C:\\Users\\mjukic\\Desktop\\GODIŠNJE IZVJEŠĆE 2022\\TABLICE  GI 2022..xlsx" "2022 PRAVOSUDNA !R2C1:R9C11" </w:instrText>
      </w:r>
      <w:r>
        <w:instrText xml:space="preserve">\a \f 4 \h  \* MERGEFORMAT </w:instrText>
      </w:r>
      <w:r>
        <w:fldChar w:fldCharType="separate"/>
      </w:r>
    </w:p>
    <w:tbl>
      <w:tblPr>
        <w:tblW w:w="9067" w:type="dxa"/>
        <w:tblLook w:val="04A0" w:firstRow="1" w:lastRow="0" w:firstColumn="1" w:lastColumn="0" w:noHBand="0" w:noVBand="1"/>
      </w:tblPr>
      <w:tblGrid>
        <w:gridCol w:w="1951"/>
        <w:gridCol w:w="848"/>
        <w:gridCol w:w="705"/>
        <w:gridCol w:w="851"/>
        <w:gridCol w:w="845"/>
        <w:gridCol w:w="704"/>
        <w:gridCol w:w="472"/>
        <w:gridCol w:w="683"/>
        <w:gridCol w:w="707"/>
        <w:gridCol w:w="483"/>
        <w:gridCol w:w="818"/>
      </w:tblGrid>
      <w:tr w:rsidR="00F30F6B" w:rsidRPr="00F10A03" w14:paraId="37601B1B" w14:textId="77777777" w:rsidTr="00F10A03">
        <w:trPr>
          <w:trHeight w:hRule="exact" w:val="822"/>
        </w:trPr>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474737" w14:textId="5B30ABE6" w:rsidR="00F30F6B" w:rsidRPr="00F10A03" w:rsidRDefault="00F10A03" w:rsidP="00F30F6B">
            <w:pPr>
              <w:spacing w:after="0" w:line="240" w:lineRule="auto"/>
              <w:jc w:val="center"/>
              <w:rPr>
                <w:rFonts w:ascii="Times New Roman" w:eastAsia="Times New Roman" w:hAnsi="Times New Roman" w:cs="Times New Roman"/>
                <w:bCs/>
                <w:color w:val="000000"/>
                <w:sz w:val="20"/>
                <w:szCs w:val="20"/>
                <w:lang w:eastAsia="hr-HR"/>
              </w:rPr>
            </w:pPr>
            <w:r w:rsidRPr="00F10A03">
              <w:rPr>
                <w:rFonts w:ascii="Times New Roman" w:eastAsia="Calibri" w:hAnsi="Times New Roman" w:cs="Times New Roman"/>
                <w:bCs/>
                <w:color w:val="000000"/>
                <w:sz w:val="20"/>
                <w:szCs w:val="20"/>
                <w:lang w:eastAsia="hr-HR"/>
              </w:rPr>
              <w:t>IZVOR PREDMETA UREDA</w:t>
            </w:r>
          </w:p>
        </w:tc>
        <w:tc>
          <w:tcPr>
            <w:tcW w:w="3249"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E83ECDD" w14:textId="77777777" w:rsidR="00F30F6B" w:rsidRPr="00F10A03" w:rsidRDefault="00F30F6B" w:rsidP="00F30F6B">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STATISTIKA UREDA</w:t>
            </w:r>
          </w:p>
        </w:tc>
        <w:tc>
          <w:tcPr>
            <w:tcW w:w="3867"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62292A2" w14:textId="77777777" w:rsidR="00F30F6B" w:rsidRPr="00F10A03" w:rsidRDefault="00F30F6B" w:rsidP="00F30F6B">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STATISTIKA PRAVOSUĐA</w:t>
            </w:r>
          </w:p>
        </w:tc>
      </w:tr>
      <w:tr w:rsidR="00F30F6B" w:rsidRPr="00F10A03" w14:paraId="4D678429" w14:textId="77777777" w:rsidTr="00F10A03">
        <w:trPr>
          <w:trHeight w:val="630"/>
        </w:trPr>
        <w:tc>
          <w:tcPr>
            <w:tcW w:w="195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CFCB4DE" w14:textId="77777777" w:rsidR="00F30F6B" w:rsidRPr="00F10A03" w:rsidRDefault="00F30F6B" w:rsidP="00F30F6B">
            <w:pPr>
              <w:spacing w:after="0" w:line="240" w:lineRule="auto"/>
              <w:jc w:val="center"/>
              <w:rPr>
                <w:rFonts w:ascii="Times New Roman" w:eastAsia="Times New Roman" w:hAnsi="Times New Roman" w:cs="Times New Roman"/>
                <w:b/>
                <w:bCs/>
                <w:color w:val="000000"/>
                <w:lang w:eastAsia="hr-HR"/>
              </w:rPr>
            </w:pPr>
            <w:r w:rsidRPr="00F10A03">
              <w:rPr>
                <w:rFonts w:ascii="Times New Roman" w:eastAsia="Times New Roman" w:hAnsi="Times New Roman" w:cs="Times New Roman"/>
                <w:b/>
                <w:bCs/>
                <w:color w:val="000000"/>
                <w:lang w:eastAsia="hr-HR"/>
              </w:rPr>
              <w:t>2022.</w:t>
            </w:r>
          </w:p>
        </w:tc>
        <w:tc>
          <w:tcPr>
            <w:tcW w:w="1553"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B3B598" w14:textId="77777777" w:rsidR="00F30F6B" w:rsidRPr="00F10A03" w:rsidRDefault="00F30F6B" w:rsidP="00F30F6B">
            <w:pPr>
              <w:spacing w:after="0" w:line="240" w:lineRule="auto"/>
              <w:jc w:val="center"/>
              <w:rPr>
                <w:rFonts w:ascii="Times New Roman" w:eastAsia="Times New Roman" w:hAnsi="Times New Roman" w:cs="Times New Roman"/>
                <w:bCs/>
                <w:color w:val="000000"/>
                <w:sz w:val="20"/>
                <w:szCs w:val="20"/>
                <w:lang w:eastAsia="hr-HR"/>
              </w:rPr>
            </w:pPr>
            <w:r w:rsidRPr="00F10A03">
              <w:rPr>
                <w:rFonts w:ascii="Times New Roman" w:eastAsia="Calibri" w:hAnsi="Times New Roman" w:cs="Times New Roman"/>
                <w:bCs/>
                <w:color w:val="000000"/>
                <w:sz w:val="20"/>
                <w:szCs w:val="20"/>
                <w:lang w:eastAsia="hr-HR"/>
              </w:rPr>
              <w:t>ANALITIČKE OBRADE</w:t>
            </w:r>
          </w:p>
        </w:tc>
        <w:tc>
          <w:tcPr>
            <w:tcW w:w="169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4A2EF5" w14:textId="77777777" w:rsidR="00F30F6B" w:rsidRPr="00F10A03" w:rsidRDefault="00F30F6B" w:rsidP="00F30F6B">
            <w:pPr>
              <w:spacing w:after="0" w:line="240" w:lineRule="auto"/>
              <w:jc w:val="center"/>
              <w:rPr>
                <w:rFonts w:ascii="Times New Roman" w:eastAsia="Times New Roman" w:hAnsi="Times New Roman" w:cs="Times New Roman"/>
                <w:bCs/>
                <w:color w:val="000000"/>
                <w:sz w:val="20"/>
                <w:szCs w:val="20"/>
                <w:lang w:eastAsia="hr-HR"/>
              </w:rPr>
            </w:pPr>
            <w:r w:rsidRPr="00F10A03">
              <w:rPr>
                <w:rFonts w:ascii="Times New Roman" w:eastAsia="Calibri" w:hAnsi="Times New Roman" w:cs="Times New Roman"/>
                <w:bCs/>
                <w:color w:val="000000"/>
                <w:sz w:val="20"/>
                <w:szCs w:val="20"/>
                <w:lang w:eastAsia="hr-HR"/>
              </w:rPr>
              <w:t>PROSLIJEĐENI SLUČAJEVI</w:t>
            </w:r>
          </w:p>
        </w:tc>
        <w:tc>
          <w:tcPr>
            <w:tcW w:w="117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AF84352" w14:textId="77777777" w:rsidR="00F30F6B" w:rsidRPr="00F10A03" w:rsidRDefault="00F30F6B" w:rsidP="00F30F6B">
            <w:pPr>
              <w:spacing w:after="0" w:line="240" w:lineRule="auto"/>
              <w:jc w:val="center"/>
              <w:rPr>
                <w:rFonts w:ascii="Times New Roman" w:eastAsia="Times New Roman" w:hAnsi="Times New Roman" w:cs="Times New Roman"/>
                <w:bCs/>
                <w:color w:val="000000"/>
                <w:sz w:val="20"/>
                <w:szCs w:val="20"/>
                <w:lang w:eastAsia="hr-HR"/>
              </w:rPr>
            </w:pPr>
            <w:r w:rsidRPr="00F10A03">
              <w:rPr>
                <w:rFonts w:ascii="Times New Roman" w:eastAsia="Calibri" w:hAnsi="Times New Roman" w:cs="Times New Roman"/>
                <w:bCs/>
                <w:color w:val="000000"/>
                <w:sz w:val="20"/>
                <w:szCs w:val="20"/>
                <w:lang w:eastAsia="hr-HR"/>
              </w:rPr>
              <w:t>ISTRAGE</w:t>
            </w:r>
          </w:p>
        </w:tc>
        <w:tc>
          <w:tcPr>
            <w:tcW w:w="139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13B8438" w14:textId="77777777" w:rsidR="00F30F6B" w:rsidRPr="00F10A03" w:rsidRDefault="00F30F6B" w:rsidP="00F30F6B">
            <w:pPr>
              <w:spacing w:after="0" w:line="240" w:lineRule="auto"/>
              <w:jc w:val="center"/>
              <w:rPr>
                <w:rFonts w:ascii="Times New Roman" w:eastAsia="Times New Roman" w:hAnsi="Times New Roman" w:cs="Times New Roman"/>
                <w:bCs/>
                <w:color w:val="000000"/>
                <w:sz w:val="20"/>
                <w:szCs w:val="20"/>
                <w:lang w:eastAsia="hr-HR"/>
              </w:rPr>
            </w:pPr>
            <w:r w:rsidRPr="00F10A03">
              <w:rPr>
                <w:rFonts w:ascii="Times New Roman" w:eastAsia="Calibri" w:hAnsi="Times New Roman" w:cs="Times New Roman"/>
                <w:bCs/>
                <w:color w:val="000000"/>
                <w:sz w:val="20"/>
                <w:szCs w:val="20"/>
                <w:lang w:eastAsia="hr-HR"/>
              </w:rPr>
              <w:t>OPTUŽNICE</w:t>
            </w:r>
          </w:p>
        </w:tc>
        <w:tc>
          <w:tcPr>
            <w:tcW w:w="1301"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4C33AE" w14:textId="77777777" w:rsidR="00F30F6B" w:rsidRPr="00F10A03" w:rsidRDefault="00F30F6B" w:rsidP="00F30F6B">
            <w:pPr>
              <w:spacing w:after="0" w:line="240" w:lineRule="auto"/>
              <w:jc w:val="center"/>
              <w:rPr>
                <w:rFonts w:ascii="Times New Roman" w:eastAsia="Times New Roman" w:hAnsi="Times New Roman" w:cs="Times New Roman"/>
                <w:bCs/>
                <w:color w:val="000000"/>
                <w:sz w:val="20"/>
                <w:szCs w:val="20"/>
                <w:lang w:eastAsia="hr-HR"/>
              </w:rPr>
            </w:pPr>
            <w:r w:rsidRPr="00F10A03">
              <w:rPr>
                <w:rFonts w:ascii="Times New Roman" w:eastAsia="Calibri" w:hAnsi="Times New Roman" w:cs="Times New Roman"/>
                <w:bCs/>
                <w:color w:val="000000"/>
                <w:sz w:val="20"/>
                <w:szCs w:val="20"/>
                <w:lang w:eastAsia="hr-HR"/>
              </w:rPr>
              <w:t>PRESUDE</w:t>
            </w:r>
          </w:p>
        </w:tc>
      </w:tr>
      <w:tr w:rsidR="00F10A03" w:rsidRPr="00F10A03" w14:paraId="704698F0" w14:textId="77777777" w:rsidTr="00F10A03">
        <w:trPr>
          <w:trHeight w:val="300"/>
        </w:trPr>
        <w:tc>
          <w:tcPr>
            <w:tcW w:w="1951" w:type="dxa"/>
            <w:tcBorders>
              <w:top w:val="nil"/>
              <w:left w:val="single" w:sz="4" w:space="0" w:color="auto"/>
              <w:bottom w:val="single" w:sz="4" w:space="0" w:color="auto"/>
              <w:right w:val="single" w:sz="4" w:space="0" w:color="auto"/>
            </w:tcBorders>
            <w:shd w:val="clear" w:color="auto" w:fill="auto"/>
            <w:vAlign w:val="center"/>
            <w:hideMark/>
          </w:tcPr>
          <w:p w14:paraId="1745ECBE" w14:textId="77777777" w:rsidR="00F30F6B" w:rsidRPr="00F10A03" w:rsidRDefault="00F30F6B" w:rsidP="00F30F6B">
            <w:pPr>
              <w:spacing w:after="0" w:line="240" w:lineRule="auto"/>
              <w:jc w:val="center"/>
              <w:rPr>
                <w:rFonts w:ascii="Times New Roman" w:eastAsia="Times New Roman" w:hAnsi="Times New Roman" w:cs="Times New Roman"/>
                <w:b/>
                <w:bCs/>
                <w:color w:val="000000"/>
                <w:lang w:eastAsia="hr-HR"/>
              </w:rPr>
            </w:pPr>
            <w:r w:rsidRPr="00F10A03">
              <w:rPr>
                <w:rFonts w:ascii="Times New Roman" w:eastAsia="Times New Roman" w:hAnsi="Times New Roman" w:cs="Times New Roman"/>
                <w:b/>
                <w:bCs/>
                <w:color w:val="000000"/>
                <w:lang w:eastAsia="hr-HR"/>
              </w:rPr>
              <w:t> </w:t>
            </w:r>
          </w:p>
        </w:tc>
        <w:tc>
          <w:tcPr>
            <w:tcW w:w="848" w:type="dxa"/>
            <w:tcBorders>
              <w:top w:val="nil"/>
              <w:left w:val="nil"/>
              <w:bottom w:val="single" w:sz="4" w:space="0" w:color="auto"/>
              <w:right w:val="single" w:sz="4" w:space="0" w:color="auto"/>
            </w:tcBorders>
            <w:shd w:val="clear" w:color="auto" w:fill="auto"/>
            <w:vAlign w:val="center"/>
            <w:hideMark/>
          </w:tcPr>
          <w:p w14:paraId="7097F250" w14:textId="77777777" w:rsidR="00F30F6B" w:rsidRPr="00F10A03" w:rsidRDefault="00F30F6B" w:rsidP="00F30F6B">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PN</w:t>
            </w:r>
          </w:p>
        </w:tc>
        <w:tc>
          <w:tcPr>
            <w:tcW w:w="705" w:type="dxa"/>
            <w:tcBorders>
              <w:top w:val="nil"/>
              <w:left w:val="nil"/>
              <w:bottom w:val="single" w:sz="4" w:space="0" w:color="auto"/>
              <w:right w:val="single" w:sz="4" w:space="0" w:color="auto"/>
            </w:tcBorders>
            <w:shd w:val="clear" w:color="auto" w:fill="auto"/>
            <w:vAlign w:val="center"/>
            <w:hideMark/>
          </w:tcPr>
          <w:p w14:paraId="1037D73C" w14:textId="77777777" w:rsidR="00F30F6B" w:rsidRPr="00F10A03" w:rsidRDefault="00F30F6B" w:rsidP="00F30F6B">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FT</w:t>
            </w:r>
          </w:p>
        </w:tc>
        <w:tc>
          <w:tcPr>
            <w:tcW w:w="851" w:type="dxa"/>
            <w:tcBorders>
              <w:top w:val="nil"/>
              <w:left w:val="nil"/>
              <w:bottom w:val="single" w:sz="4" w:space="0" w:color="auto"/>
              <w:right w:val="single" w:sz="4" w:space="0" w:color="auto"/>
            </w:tcBorders>
            <w:shd w:val="clear" w:color="auto" w:fill="auto"/>
            <w:vAlign w:val="center"/>
            <w:hideMark/>
          </w:tcPr>
          <w:p w14:paraId="4948C920" w14:textId="77777777" w:rsidR="00F30F6B" w:rsidRPr="00F10A03" w:rsidRDefault="00F30F6B" w:rsidP="00F30F6B">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PN</w:t>
            </w:r>
          </w:p>
        </w:tc>
        <w:tc>
          <w:tcPr>
            <w:tcW w:w="845" w:type="dxa"/>
            <w:tcBorders>
              <w:top w:val="nil"/>
              <w:left w:val="nil"/>
              <w:bottom w:val="single" w:sz="4" w:space="0" w:color="auto"/>
              <w:right w:val="single" w:sz="4" w:space="0" w:color="auto"/>
            </w:tcBorders>
            <w:shd w:val="clear" w:color="auto" w:fill="auto"/>
            <w:vAlign w:val="center"/>
            <w:hideMark/>
          </w:tcPr>
          <w:p w14:paraId="0858B089" w14:textId="77777777" w:rsidR="00F30F6B" w:rsidRPr="00F10A03" w:rsidRDefault="00F30F6B" w:rsidP="00F30F6B">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FT</w:t>
            </w:r>
          </w:p>
        </w:tc>
        <w:tc>
          <w:tcPr>
            <w:tcW w:w="704" w:type="dxa"/>
            <w:tcBorders>
              <w:top w:val="nil"/>
              <w:left w:val="nil"/>
              <w:bottom w:val="single" w:sz="4" w:space="0" w:color="auto"/>
              <w:right w:val="single" w:sz="4" w:space="0" w:color="auto"/>
            </w:tcBorders>
            <w:shd w:val="clear" w:color="auto" w:fill="auto"/>
            <w:vAlign w:val="center"/>
            <w:hideMark/>
          </w:tcPr>
          <w:p w14:paraId="4D793E6D" w14:textId="77777777" w:rsidR="00F30F6B" w:rsidRPr="00F10A03" w:rsidRDefault="00F30F6B" w:rsidP="00F30F6B">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PN</w:t>
            </w:r>
          </w:p>
        </w:tc>
        <w:tc>
          <w:tcPr>
            <w:tcW w:w="472" w:type="dxa"/>
            <w:tcBorders>
              <w:top w:val="nil"/>
              <w:left w:val="nil"/>
              <w:bottom w:val="single" w:sz="4" w:space="0" w:color="auto"/>
              <w:right w:val="single" w:sz="4" w:space="0" w:color="auto"/>
            </w:tcBorders>
            <w:shd w:val="clear" w:color="auto" w:fill="auto"/>
            <w:vAlign w:val="center"/>
            <w:hideMark/>
          </w:tcPr>
          <w:p w14:paraId="3F5CC074" w14:textId="77777777" w:rsidR="00F30F6B" w:rsidRPr="00F10A03" w:rsidRDefault="00F30F6B" w:rsidP="00F30F6B">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FT</w:t>
            </w:r>
          </w:p>
        </w:tc>
        <w:tc>
          <w:tcPr>
            <w:tcW w:w="683" w:type="dxa"/>
            <w:tcBorders>
              <w:top w:val="nil"/>
              <w:left w:val="nil"/>
              <w:bottom w:val="single" w:sz="4" w:space="0" w:color="auto"/>
              <w:right w:val="single" w:sz="4" w:space="0" w:color="auto"/>
            </w:tcBorders>
            <w:shd w:val="clear" w:color="auto" w:fill="auto"/>
            <w:vAlign w:val="center"/>
            <w:hideMark/>
          </w:tcPr>
          <w:p w14:paraId="644FE859" w14:textId="77777777" w:rsidR="00F30F6B" w:rsidRPr="00F10A03" w:rsidRDefault="00F30F6B" w:rsidP="00F30F6B">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PN</w:t>
            </w:r>
          </w:p>
        </w:tc>
        <w:tc>
          <w:tcPr>
            <w:tcW w:w="707" w:type="dxa"/>
            <w:tcBorders>
              <w:top w:val="nil"/>
              <w:left w:val="nil"/>
              <w:bottom w:val="single" w:sz="4" w:space="0" w:color="auto"/>
              <w:right w:val="single" w:sz="4" w:space="0" w:color="auto"/>
            </w:tcBorders>
            <w:shd w:val="clear" w:color="auto" w:fill="auto"/>
            <w:vAlign w:val="center"/>
            <w:hideMark/>
          </w:tcPr>
          <w:p w14:paraId="68917FBD" w14:textId="77777777" w:rsidR="00F30F6B" w:rsidRPr="00F10A03" w:rsidRDefault="00F30F6B" w:rsidP="00F30F6B">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FT</w:t>
            </w:r>
          </w:p>
        </w:tc>
        <w:tc>
          <w:tcPr>
            <w:tcW w:w="483" w:type="dxa"/>
            <w:tcBorders>
              <w:top w:val="nil"/>
              <w:left w:val="nil"/>
              <w:bottom w:val="single" w:sz="4" w:space="0" w:color="auto"/>
              <w:right w:val="single" w:sz="4" w:space="0" w:color="auto"/>
            </w:tcBorders>
            <w:shd w:val="clear" w:color="auto" w:fill="auto"/>
            <w:vAlign w:val="center"/>
            <w:hideMark/>
          </w:tcPr>
          <w:p w14:paraId="30DE5498" w14:textId="77777777" w:rsidR="00F30F6B" w:rsidRPr="00F10A03" w:rsidRDefault="00F30F6B" w:rsidP="00F30F6B">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PN</w:t>
            </w:r>
          </w:p>
        </w:tc>
        <w:tc>
          <w:tcPr>
            <w:tcW w:w="818" w:type="dxa"/>
            <w:tcBorders>
              <w:top w:val="nil"/>
              <w:left w:val="nil"/>
              <w:bottom w:val="single" w:sz="4" w:space="0" w:color="auto"/>
              <w:right w:val="single" w:sz="4" w:space="0" w:color="auto"/>
            </w:tcBorders>
            <w:shd w:val="clear" w:color="auto" w:fill="auto"/>
            <w:vAlign w:val="center"/>
            <w:hideMark/>
          </w:tcPr>
          <w:p w14:paraId="5C602A60" w14:textId="77777777" w:rsidR="00F30F6B" w:rsidRPr="00F10A03" w:rsidRDefault="00F30F6B" w:rsidP="00F30F6B">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FT</w:t>
            </w:r>
          </w:p>
        </w:tc>
      </w:tr>
      <w:tr w:rsidR="00F10A03" w:rsidRPr="00F10A03" w14:paraId="28513A35" w14:textId="77777777" w:rsidTr="00F10A03">
        <w:trPr>
          <w:cantSplit/>
          <w:trHeight w:hRule="exact" w:val="300"/>
        </w:trPr>
        <w:tc>
          <w:tcPr>
            <w:tcW w:w="1951" w:type="dxa"/>
            <w:tcBorders>
              <w:top w:val="nil"/>
              <w:left w:val="single" w:sz="4" w:space="0" w:color="auto"/>
              <w:bottom w:val="single" w:sz="4" w:space="0" w:color="auto"/>
              <w:right w:val="single" w:sz="4" w:space="0" w:color="auto"/>
            </w:tcBorders>
            <w:shd w:val="clear" w:color="auto" w:fill="auto"/>
            <w:vAlign w:val="center"/>
            <w:hideMark/>
          </w:tcPr>
          <w:p w14:paraId="5F6616E3" w14:textId="77777777" w:rsidR="00F30F6B" w:rsidRPr="00F10A03" w:rsidRDefault="00F30F6B" w:rsidP="00F10A03">
            <w:pPr>
              <w:spacing w:after="0" w:line="240" w:lineRule="auto"/>
              <w:rPr>
                <w:rFonts w:ascii="Times New Roman" w:eastAsia="Times New Roman" w:hAnsi="Times New Roman" w:cs="Times New Roman"/>
                <w:bCs/>
                <w:color w:val="000000"/>
                <w:sz w:val="20"/>
                <w:szCs w:val="20"/>
                <w:lang w:eastAsia="hr-HR"/>
              </w:rPr>
            </w:pPr>
            <w:r w:rsidRPr="00F10A03">
              <w:rPr>
                <w:rFonts w:ascii="Times New Roman" w:eastAsia="Calibri" w:hAnsi="Times New Roman" w:cs="Times New Roman"/>
                <w:bCs/>
                <w:color w:val="000000"/>
                <w:sz w:val="20"/>
                <w:szCs w:val="20"/>
                <w:lang w:eastAsia="hr-HR"/>
              </w:rPr>
              <w:t>OBVEZNICI</w:t>
            </w:r>
          </w:p>
        </w:tc>
        <w:tc>
          <w:tcPr>
            <w:tcW w:w="848" w:type="dxa"/>
            <w:tcBorders>
              <w:top w:val="nil"/>
              <w:left w:val="nil"/>
              <w:bottom w:val="single" w:sz="4" w:space="0" w:color="auto"/>
              <w:right w:val="single" w:sz="4" w:space="0" w:color="auto"/>
            </w:tcBorders>
            <w:shd w:val="clear" w:color="auto" w:fill="auto"/>
            <w:vAlign w:val="center"/>
            <w:hideMark/>
          </w:tcPr>
          <w:p w14:paraId="6A88EB4A" w14:textId="77777777" w:rsidR="00F30F6B" w:rsidRPr="00F10A03" w:rsidRDefault="00F30F6B" w:rsidP="00F30F6B">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Calibri" w:hAnsi="Times New Roman" w:cs="Times New Roman"/>
                <w:color w:val="000000"/>
                <w:sz w:val="20"/>
                <w:szCs w:val="20"/>
                <w:lang w:eastAsia="hr-HR"/>
              </w:rPr>
              <w:t>266</w:t>
            </w:r>
          </w:p>
        </w:tc>
        <w:tc>
          <w:tcPr>
            <w:tcW w:w="705" w:type="dxa"/>
            <w:tcBorders>
              <w:top w:val="nil"/>
              <w:left w:val="nil"/>
              <w:bottom w:val="single" w:sz="4" w:space="0" w:color="auto"/>
              <w:right w:val="single" w:sz="4" w:space="0" w:color="auto"/>
            </w:tcBorders>
            <w:shd w:val="clear" w:color="auto" w:fill="auto"/>
            <w:vAlign w:val="center"/>
            <w:hideMark/>
          </w:tcPr>
          <w:p w14:paraId="21B75425" w14:textId="77777777" w:rsidR="00F30F6B" w:rsidRPr="00F10A03" w:rsidRDefault="00F30F6B" w:rsidP="00F30F6B">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Calibri" w:hAnsi="Times New Roman" w:cs="Times New Roman"/>
                <w:color w:val="000000"/>
                <w:sz w:val="20"/>
                <w:szCs w:val="20"/>
                <w:lang w:eastAsia="hr-HR"/>
              </w:rPr>
              <w:t>4</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123D640" w14:textId="77777777" w:rsidR="00F30F6B" w:rsidRPr="00F10A03" w:rsidRDefault="00F30F6B" w:rsidP="00F30F6B">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Calibri" w:hAnsi="Times New Roman" w:cs="Times New Roman"/>
                <w:color w:val="000000"/>
                <w:sz w:val="20"/>
                <w:szCs w:val="20"/>
                <w:lang w:eastAsia="hr-HR"/>
              </w:rPr>
              <w:t>244</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14:paraId="26DF21AE" w14:textId="77777777" w:rsidR="00F30F6B" w:rsidRPr="00F10A03" w:rsidRDefault="00F30F6B" w:rsidP="00F30F6B">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Calibri" w:hAnsi="Times New Roman" w:cs="Times New Roman"/>
                <w:color w:val="000000"/>
                <w:sz w:val="20"/>
                <w:szCs w:val="20"/>
                <w:lang w:eastAsia="hr-HR"/>
              </w:rPr>
              <w:t>6</w:t>
            </w:r>
          </w:p>
        </w:tc>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591BCE2D" w14:textId="77777777" w:rsidR="00F30F6B" w:rsidRPr="00F10A03" w:rsidRDefault="00F30F6B" w:rsidP="00F30F6B">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Calibri" w:hAnsi="Times New Roman" w:cs="Times New Roman"/>
                <w:color w:val="000000"/>
                <w:sz w:val="20"/>
                <w:szCs w:val="20"/>
                <w:lang w:eastAsia="hr-HR"/>
              </w:rPr>
              <w:t>17</w:t>
            </w:r>
          </w:p>
        </w:tc>
        <w:tc>
          <w:tcPr>
            <w:tcW w:w="472" w:type="dxa"/>
            <w:vMerge w:val="restart"/>
            <w:tcBorders>
              <w:top w:val="nil"/>
              <w:left w:val="single" w:sz="4" w:space="0" w:color="auto"/>
              <w:bottom w:val="single" w:sz="4" w:space="0" w:color="auto"/>
              <w:right w:val="single" w:sz="4" w:space="0" w:color="auto"/>
            </w:tcBorders>
            <w:shd w:val="clear" w:color="auto" w:fill="auto"/>
            <w:vAlign w:val="center"/>
            <w:hideMark/>
          </w:tcPr>
          <w:p w14:paraId="1AC17682" w14:textId="77777777" w:rsidR="00F30F6B" w:rsidRPr="00F10A03" w:rsidRDefault="00F30F6B" w:rsidP="00F30F6B">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Calibri" w:hAnsi="Times New Roman" w:cs="Times New Roman"/>
                <w:color w:val="000000"/>
                <w:sz w:val="20"/>
                <w:szCs w:val="20"/>
                <w:lang w:eastAsia="hr-HR"/>
              </w:rPr>
              <w:t> </w:t>
            </w:r>
          </w:p>
        </w:tc>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14:paraId="0AEC0AC2" w14:textId="77777777" w:rsidR="00F30F6B" w:rsidRPr="00F10A03" w:rsidRDefault="00F30F6B" w:rsidP="00F30F6B">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Calibri" w:hAnsi="Times New Roman" w:cs="Times New Roman"/>
                <w:color w:val="000000"/>
                <w:sz w:val="20"/>
                <w:szCs w:val="20"/>
                <w:lang w:eastAsia="hr-HR"/>
              </w:rPr>
              <w:t>10</w:t>
            </w:r>
          </w:p>
        </w:tc>
        <w:tc>
          <w:tcPr>
            <w:tcW w:w="707" w:type="dxa"/>
            <w:vMerge w:val="restart"/>
            <w:tcBorders>
              <w:top w:val="nil"/>
              <w:left w:val="single" w:sz="4" w:space="0" w:color="auto"/>
              <w:bottom w:val="single" w:sz="4" w:space="0" w:color="auto"/>
              <w:right w:val="single" w:sz="4" w:space="0" w:color="auto"/>
            </w:tcBorders>
            <w:shd w:val="clear" w:color="auto" w:fill="auto"/>
            <w:vAlign w:val="center"/>
            <w:hideMark/>
          </w:tcPr>
          <w:p w14:paraId="1C656A6D" w14:textId="77777777" w:rsidR="00F30F6B" w:rsidRPr="00F10A03" w:rsidRDefault="00F30F6B" w:rsidP="00F30F6B">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Calibri" w:hAnsi="Times New Roman" w:cs="Times New Roman"/>
                <w:color w:val="000000"/>
                <w:sz w:val="20"/>
                <w:szCs w:val="20"/>
                <w:lang w:eastAsia="hr-HR"/>
              </w:rPr>
              <w:t> </w:t>
            </w:r>
          </w:p>
        </w:tc>
        <w:tc>
          <w:tcPr>
            <w:tcW w:w="483" w:type="dxa"/>
            <w:vMerge w:val="restart"/>
            <w:tcBorders>
              <w:top w:val="nil"/>
              <w:left w:val="single" w:sz="4" w:space="0" w:color="auto"/>
              <w:bottom w:val="single" w:sz="4" w:space="0" w:color="auto"/>
              <w:right w:val="single" w:sz="4" w:space="0" w:color="auto"/>
            </w:tcBorders>
            <w:shd w:val="clear" w:color="auto" w:fill="auto"/>
            <w:vAlign w:val="center"/>
            <w:hideMark/>
          </w:tcPr>
          <w:p w14:paraId="79B0A90B" w14:textId="585D928A" w:rsidR="00F30F6B" w:rsidRPr="00F10A03" w:rsidRDefault="00606630" w:rsidP="00F30F6B">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Times New Roman" w:hAnsi="Times New Roman" w:cs="Times New Roman"/>
                <w:color w:val="000000"/>
                <w:sz w:val="20"/>
                <w:szCs w:val="20"/>
                <w:lang w:eastAsia="hr-HR"/>
              </w:rPr>
              <w:t>8</w:t>
            </w:r>
          </w:p>
        </w:tc>
        <w:tc>
          <w:tcPr>
            <w:tcW w:w="818" w:type="dxa"/>
            <w:vMerge w:val="restart"/>
            <w:tcBorders>
              <w:top w:val="nil"/>
              <w:left w:val="single" w:sz="4" w:space="0" w:color="auto"/>
              <w:bottom w:val="single" w:sz="4" w:space="0" w:color="auto"/>
              <w:right w:val="single" w:sz="4" w:space="0" w:color="auto"/>
            </w:tcBorders>
            <w:shd w:val="clear" w:color="auto" w:fill="auto"/>
            <w:vAlign w:val="center"/>
            <w:hideMark/>
          </w:tcPr>
          <w:p w14:paraId="0951F5D9" w14:textId="77777777" w:rsidR="00F30F6B" w:rsidRPr="00F10A03" w:rsidRDefault="00F30F6B" w:rsidP="00F30F6B">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Calibri" w:hAnsi="Times New Roman" w:cs="Times New Roman"/>
                <w:color w:val="000000"/>
                <w:sz w:val="20"/>
                <w:szCs w:val="20"/>
                <w:lang w:eastAsia="hr-HR"/>
              </w:rPr>
              <w:t> </w:t>
            </w:r>
          </w:p>
        </w:tc>
      </w:tr>
      <w:tr w:rsidR="00F10A03" w:rsidRPr="00F10A03" w14:paraId="06F23D36" w14:textId="77777777" w:rsidTr="00F10A03">
        <w:trPr>
          <w:cantSplit/>
          <w:trHeight w:hRule="exact" w:val="300"/>
        </w:trPr>
        <w:tc>
          <w:tcPr>
            <w:tcW w:w="1951" w:type="dxa"/>
            <w:tcBorders>
              <w:top w:val="nil"/>
              <w:left w:val="single" w:sz="4" w:space="0" w:color="auto"/>
              <w:bottom w:val="single" w:sz="4" w:space="0" w:color="auto"/>
              <w:right w:val="single" w:sz="4" w:space="0" w:color="auto"/>
            </w:tcBorders>
            <w:shd w:val="clear" w:color="auto" w:fill="auto"/>
            <w:vAlign w:val="center"/>
            <w:hideMark/>
          </w:tcPr>
          <w:p w14:paraId="4F32DBD2" w14:textId="77777777" w:rsidR="00F30F6B" w:rsidRPr="00F10A03" w:rsidRDefault="00F30F6B" w:rsidP="00F10A03">
            <w:pPr>
              <w:spacing w:after="0" w:line="240" w:lineRule="auto"/>
              <w:rPr>
                <w:rFonts w:ascii="Times New Roman" w:eastAsia="Times New Roman" w:hAnsi="Times New Roman" w:cs="Times New Roman"/>
                <w:bCs/>
                <w:color w:val="000000"/>
                <w:sz w:val="20"/>
                <w:szCs w:val="20"/>
                <w:lang w:eastAsia="hr-HR"/>
              </w:rPr>
            </w:pPr>
            <w:r w:rsidRPr="00F10A03">
              <w:rPr>
                <w:rFonts w:ascii="Times New Roman" w:eastAsia="Calibri" w:hAnsi="Times New Roman" w:cs="Times New Roman"/>
                <w:bCs/>
                <w:color w:val="000000"/>
                <w:sz w:val="20"/>
                <w:szCs w:val="20"/>
                <w:lang w:eastAsia="hr-HR"/>
              </w:rPr>
              <w:t xml:space="preserve">DRŽAVNA TIJELA </w:t>
            </w:r>
          </w:p>
        </w:tc>
        <w:tc>
          <w:tcPr>
            <w:tcW w:w="848" w:type="dxa"/>
            <w:tcBorders>
              <w:top w:val="nil"/>
              <w:left w:val="nil"/>
              <w:bottom w:val="single" w:sz="4" w:space="0" w:color="auto"/>
              <w:right w:val="single" w:sz="4" w:space="0" w:color="auto"/>
            </w:tcBorders>
            <w:shd w:val="clear" w:color="auto" w:fill="auto"/>
            <w:vAlign w:val="center"/>
            <w:hideMark/>
          </w:tcPr>
          <w:p w14:paraId="6D27D596" w14:textId="77777777" w:rsidR="00F30F6B" w:rsidRPr="00F10A03" w:rsidRDefault="00F30F6B" w:rsidP="00F30F6B">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Calibri" w:hAnsi="Times New Roman" w:cs="Times New Roman"/>
                <w:color w:val="000000"/>
                <w:sz w:val="20"/>
                <w:szCs w:val="20"/>
                <w:lang w:eastAsia="hr-HR"/>
              </w:rPr>
              <w:t>82</w:t>
            </w:r>
          </w:p>
        </w:tc>
        <w:tc>
          <w:tcPr>
            <w:tcW w:w="705" w:type="dxa"/>
            <w:tcBorders>
              <w:top w:val="nil"/>
              <w:left w:val="nil"/>
              <w:bottom w:val="single" w:sz="4" w:space="0" w:color="auto"/>
              <w:right w:val="single" w:sz="4" w:space="0" w:color="auto"/>
            </w:tcBorders>
            <w:shd w:val="clear" w:color="auto" w:fill="auto"/>
            <w:vAlign w:val="center"/>
            <w:hideMark/>
          </w:tcPr>
          <w:p w14:paraId="2C39D494" w14:textId="77777777" w:rsidR="00F30F6B" w:rsidRPr="00F10A03" w:rsidRDefault="00F30F6B" w:rsidP="00F30F6B">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Calibri" w:hAnsi="Times New Roman" w:cs="Times New Roman"/>
                <w:color w:val="000000"/>
                <w:sz w:val="20"/>
                <w:szCs w:val="20"/>
                <w:lang w:eastAsia="hr-HR"/>
              </w:rPr>
              <w:t>1</w:t>
            </w:r>
          </w:p>
        </w:tc>
        <w:tc>
          <w:tcPr>
            <w:tcW w:w="851" w:type="dxa"/>
            <w:vMerge/>
            <w:tcBorders>
              <w:top w:val="nil"/>
              <w:left w:val="single" w:sz="4" w:space="0" w:color="auto"/>
              <w:bottom w:val="single" w:sz="4" w:space="0" w:color="auto"/>
              <w:right w:val="single" w:sz="4" w:space="0" w:color="auto"/>
            </w:tcBorders>
            <w:vAlign w:val="center"/>
            <w:hideMark/>
          </w:tcPr>
          <w:p w14:paraId="419CF99F"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c>
          <w:tcPr>
            <w:tcW w:w="845" w:type="dxa"/>
            <w:vMerge/>
            <w:tcBorders>
              <w:top w:val="nil"/>
              <w:left w:val="single" w:sz="4" w:space="0" w:color="auto"/>
              <w:bottom w:val="single" w:sz="4" w:space="0" w:color="auto"/>
              <w:right w:val="single" w:sz="4" w:space="0" w:color="auto"/>
            </w:tcBorders>
            <w:vAlign w:val="center"/>
            <w:hideMark/>
          </w:tcPr>
          <w:p w14:paraId="3E212A05"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c>
          <w:tcPr>
            <w:tcW w:w="704" w:type="dxa"/>
            <w:vMerge/>
            <w:tcBorders>
              <w:top w:val="nil"/>
              <w:left w:val="single" w:sz="4" w:space="0" w:color="auto"/>
              <w:bottom w:val="single" w:sz="4" w:space="0" w:color="auto"/>
              <w:right w:val="single" w:sz="4" w:space="0" w:color="auto"/>
            </w:tcBorders>
            <w:vAlign w:val="center"/>
            <w:hideMark/>
          </w:tcPr>
          <w:p w14:paraId="1955D2D1"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c>
          <w:tcPr>
            <w:tcW w:w="472" w:type="dxa"/>
            <w:vMerge/>
            <w:tcBorders>
              <w:top w:val="nil"/>
              <w:left w:val="single" w:sz="4" w:space="0" w:color="auto"/>
              <w:bottom w:val="single" w:sz="4" w:space="0" w:color="auto"/>
              <w:right w:val="single" w:sz="4" w:space="0" w:color="auto"/>
            </w:tcBorders>
            <w:vAlign w:val="center"/>
            <w:hideMark/>
          </w:tcPr>
          <w:p w14:paraId="0C855CF8"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c>
          <w:tcPr>
            <w:tcW w:w="683" w:type="dxa"/>
            <w:vMerge/>
            <w:tcBorders>
              <w:top w:val="nil"/>
              <w:left w:val="single" w:sz="4" w:space="0" w:color="auto"/>
              <w:bottom w:val="single" w:sz="4" w:space="0" w:color="auto"/>
              <w:right w:val="single" w:sz="4" w:space="0" w:color="auto"/>
            </w:tcBorders>
            <w:vAlign w:val="center"/>
            <w:hideMark/>
          </w:tcPr>
          <w:p w14:paraId="734C3CAE"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c>
          <w:tcPr>
            <w:tcW w:w="707" w:type="dxa"/>
            <w:vMerge/>
            <w:tcBorders>
              <w:top w:val="nil"/>
              <w:left w:val="single" w:sz="4" w:space="0" w:color="auto"/>
              <w:bottom w:val="single" w:sz="4" w:space="0" w:color="auto"/>
              <w:right w:val="single" w:sz="4" w:space="0" w:color="auto"/>
            </w:tcBorders>
            <w:vAlign w:val="center"/>
            <w:hideMark/>
          </w:tcPr>
          <w:p w14:paraId="4EC0CDF4"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c>
          <w:tcPr>
            <w:tcW w:w="483" w:type="dxa"/>
            <w:vMerge/>
            <w:tcBorders>
              <w:top w:val="nil"/>
              <w:left w:val="single" w:sz="4" w:space="0" w:color="auto"/>
              <w:bottom w:val="single" w:sz="4" w:space="0" w:color="auto"/>
              <w:right w:val="single" w:sz="4" w:space="0" w:color="auto"/>
            </w:tcBorders>
            <w:vAlign w:val="center"/>
            <w:hideMark/>
          </w:tcPr>
          <w:p w14:paraId="55A9F576"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c>
          <w:tcPr>
            <w:tcW w:w="818" w:type="dxa"/>
            <w:vMerge/>
            <w:tcBorders>
              <w:top w:val="nil"/>
              <w:left w:val="single" w:sz="4" w:space="0" w:color="auto"/>
              <w:bottom w:val="single" w:sz="4" w:space="0" w:color="auto"/>
              <w:right w:val="single" w:sz="4" w:space="0" w:color="auto"/>
            </w:tcBorders>
            <w:vAlign w:val="center"/>
            <w:hideMark/>
          </w:tcPr>
          <w:p w14:paraId="743A9850"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r>
      <w:tr w:rsidR="00F10A03" w:rsidRPr="00F10A03" w14:paraId="5F1EDFCC" w14:textId="77777777" w:rsidTr="00F10A03">
        <w:trPr>
          <w:trHeight w:val="306"/>
        </w:trPr>
        <w:tc>
          <w:tcPr>
            <w:tcW w:w="1951" w:type="dxa"/>
            <w:tcBorders>
              <w:top w:val="nil"/>
              <w:left w:val="single" w:sz="4" w:space="0" w:color="auto"/>
              <w:bottom w:val="single" w:sz="4" w:space="0" w:color="auto"/>
              <w:right w:val="single" w:sz="4" w:space="0" w:color="auto"/>
            </w:tcBorders>
            <w:shd w:val="clear" w:color="auto" w:fill="auto"/>
            <w:vAlign w:val="bottom"/>
            <w:hideMark/>
          </w:tcPr>
          <w:p w14:paraId="1622F5BF" w14:textId="77777777" w:rsidR="00F30F6B" w:rsidRPr="00F10A03" w:rsidRDefault="00F30F6B" w:rsidP="00F10A03">
            <w:pPr>
              <w:spacing w:after="0" w:line="240" w:lineRule="auto"/>
              <w:rPr>
                <w:rFonts w:ascii="Times New Roman" w:eastAsia="Times New Roman" w:hAnsi="Times New Roman" w:cs="Times New Roman"/>
                <w:bCs/>
                <w:color w:val="000000"/>
                <w:sz w:val="20"/>
                <w:szCs w:val="20"/>
                <w:lang w:eastAsia="hr-HR"/>
              </w:rPr>
            </w:pPr>
            <w:r w:rsidRPr="00F10A03">
              <w:rPr>
                <w:rFonts w:ascii="Times New Roman" w:eastAsia="Times New Roman" w:hAnsi="Times New Roman" w:cs="Times New Roman"/>
                <w:bCs/>
                <w:color w:val="000000"/>
                <w:sz w:val="20"/>
                <w:szCs w:val="20"/>
                <w:lang w:eastAsia="hr-HR"/>
              </w:rPr>
              <w:t xml:space="preserve">INOZEMNI FOJ </w:t>
            </w:r>
          </w:p>
        </w:tc>
        <w:tc>
          <w:tcPr>
            <w:tcW w:w="848" w:type="dxa"/>
            <w:tcBorders>
              <w:top w:val="nil"/>
              <w:left w:val="nil"/>
              <w:bottom w:val="single" w:sz="4" w:space="0" w:color="auto"/>
              <w:right w:val="single" w:sz="4" w:space="0" w:color="auto"/>
            </w:tcBorders>
            <w:shd w:val="clear" w:color="auto" w:fill="auto"/>
            <w:vAlign w:val="center"/>
            <w:hideMark/>
          </w:tcPr>
          <w:p w14:paraId="563A4B8B" w14:textId="77777777" w:rsidR="00F30F6B" w:rsidRPr="00F10A03" w:rsidRDefault="00F30F6B" w:rsidP="00F30F6B">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Calibri" w:hAnsi="Times New Roman" w:cs="Times New Roman"/>
                <w:color w:val="000000"/>
                <w:sz w:val="20"/>
                <w:szCs w:val="20"/>
                <w:lang w:eastAsia="hr-HR"/>
              </w:rPr>
              <w:t>115</w:t>
            </w:r>
          </w:p>
        </w:tc>
        <w:tc>
          <w:tcPr>
            <w:tcW w:w="705" w:type="dxa"/>
            <w:tcBorders>
              <w:top w:val="nil"/>
              <w:left w:val="nil"/>
              <w:bottom w:val="single" w:sz="4" w:space="0" w:color="auto"/>
              <w:right w:val="single" w:sz="4" w:space="0" w:color="auto"/>
            </w:tcBorders>
            <w:shd w:val="clear" w:color="auto" w:fill="auto"/>
            <w:vAlign w:val="center"/>
            <w:hideMark/>
          </w:tcPr>
          <w:p w14:paraId="15710551" w14:textId="77777777" w:rsidR="00F30F6B" w:rsidRPr="00F10A03" w:rsidRDefault="00F30F6B" w:rsidP="00F30F6B">
            <w:pPr>
              <w:spacing w:after="0" w:line="240" w:lineRule="auto"/>
              <w:jc w:val="center"/>
              <w:rPr>
                <w:rFonts w:ascii="Times New Roman" w:eastAsia="Times New Roman" w:hAnsi="Times New Roman" w:cs="Times New Roman"/>
                <w:color w:val="000000"/>
                <w:sz w:val="20"/>
                <w:szCs w:val="20"/>
                <w:lang w:eastAsia="hr-HR"/>
              </w:rPr>
            </w:pPr>
            <w:r w:rsidRPr="00F10A03">
              <w:rPr>
                <w:rFonts w:ascii="Times New Roman" w:eastAsia="Calibri" w:hAnsi="Times New Roman" w:cs="Times New Roman"/>
                <w:color w:val="000000"/>
                <w:sz w:val="20"/>
                <w:szCs w:val="20"/>
                <w:lang w:eastAsia="hr-HR"/>
              </w:rPr>
              <w:t>1</w:t>
            </w:r>
          </w:p>
        </w:tc>
        <w:tc>
          <w:tcPr>
            <w:tcW w:w="851" w:type="dxa"/>
            <w:vMerge/>
            <w:tcBorders>
              <w:top w:val="nil"/>
              <w:left w:val="single" w:sz="4" w:space="0" w:color="auto"/>
              <w:bottom w:val="single" w:sz="4" w:space="0" w:color="auto"/>
              <w:right w:val="single" w:sz="4" w:space="0" w:color="auto"/>
            </w:tcBorders>
            <w:vAlign w:val="center"/>
            <w:hideMark/>
          </w:tcPr>
          <w:p w14:paraId="2BE5A488"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c>
          <w:tcPr>
            <w:tcW w:w="845" w:type="dxa"/>
            <w:vMerge/>
            <w:tcBorders>
              <w:top w:val="nil"/>
              <w:left w:val="single" w:sz="4" w:space="0" w:color="auto"/>
              <w:bottom w:val="single" w:sz="4" w:space="0" w:color="auto"/>
              <w:right w:val="single" w:sz="4" w:space="0" w:color="auto"/>
            </w:tcBorders>
            <w:vAlign w:val="center"/>
            <w:hideMark/>
          </w:tcPr>
          <w:p w14:paraId="23E5C069"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c>
          <w:tcPr>
            <w:tcW w:w="704" w:type="dxa"/>
            <w:vMerge/>
            <w:tcBorders>
              <w:top w:val="nil"/>
              <w:left w:val="single" w:sz="4" w:space="0" w:color="auto"/>
              <w:bottom w:val="single" w:sz="4" w:space="0" w:color="auto"/>
              <w:right w:val="single" w:sz="4" w:space="0" w:color="auto"/>
            </w:tcBorders>
            <w:vAlign w:val="center"/>
            <w:hideMark/>
          </w:tcPr>
          <w:p w14:paraId="40134F2A"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c>
          <w:tcPr>
            <w:tcW w:w="472" w:type="dxa"/>
            <w:vMerge/>
            <w:tcBorders>
              <w:top w:val="nil"/>
              <w:left w:val="single" w:sz="4" w:space="0" w:color="auto"/>
              <w:bottom w:val="single" w:sz="4" w:space="0" w:color="auto"/>
              <w:right w:val="single" w:sz="4" w:space="0" w:color="auto"/>
            </w:tcBorders>
            <w:vAlign w:val="center"/>
            <w:hideMark/>
          </w:tcPr>
          <w:p w14:paraId="3FD0E1FD"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c>
          <w:tcPr>
            <w:tcW w:w="683" w:type="dxa"/>
            <w:vMerge/>
            <w:tcBorders>
              <w:top w:val="nil"/>
              <w:left w:val="single" w:sz="4" w:space="0" w:color="auto"/>
              <w:bottom w:val="single" w:sz="4" w:space="0" w:color="auto"/>
              <w:right w:val="single" w:sz="4" w:space="0" w:color="auto"/>
            </w:tcBorders>
            <w:vAlign w:val="center"/>
            <w:hideMark/>
          </w:tcPr>
          <w:p w14:paraId="4B7A77AF"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c>
          <w:tcPr>
            <w:tcW w:w="707" w:type="dxa"/>
            <w:vMerge/>
            <w:tcBorders>
              <w:top w:val="nil"/>
              <w:left w:val="single" w:sz="4" w:space="0" w:color="auto"/>
              <w:bottom w:val="single" w:sz="4" w:space="0" w:color="auto"/>
              <w:right w:val="single" w:sz="4" w:space="0" w:color="auto"/>
            </w:tcBorders>
            <w:vAlign w:val="center"/>
            <w:hideMark/>
          </w:tcPr>
          <w:p w14:paraId="344E4712"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c>
          <w:tcPr>
            <w:tcW w:w="483" w:type="dxa"/>
            <w:vMerge/>
            <w:tcBorders>
              <w:top w:val="nil"/>
              <w:left w:val="single" w:sz="4" w:space="0" w:color="auto"/>
              <w:bottom w:val="single" w:sz="4" w:space="0" w:color="auto"/>
              <w:right w:val="single" w:sz="4" w:space="0" w:color="auto"/>
            </w:tcBorders>
            <w:vAlign w:val="center"/>
            <w:hideMark/>
          </w:tcPr>
          <w:p w14:paraId="3A0956DB"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c>
          <w:tcPr>
            <w:tcW w:w="818" w:type="dxa"/>
            <w:vMerge/>
            <w:tcBorders>
              <w:top w:val="nil"/>
              <w:left w:val="single" w:sz="4" w:space="0" w:color="auto"/>
              <w:bottom w:val="single" w:sz="4" w:space="0" w:color="auto"/>
              <w:right w:val="single" w:sz="4" w:space="0" w:color="auto"/>
            </w:tcBorders>
            <w:vAlign w:val="center"/>
            <w:hideMark/>
          </w:tcPr>
          <w:p w14:paraId="1355D6D2"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r>
      <w:tr w:rsidR="00F10A03" w:rsidRPr="00F10A03" w14:paraId="5889D77A" w14:textId="77777777" w:rsidTr="00F10A03">
        <w:trPr>
          <w:cantSplit/>
          <w:trHeight w:hRule="exact" w:val="300"/>
        </w:trPr>
        <w:tc>
          <w:tcPr>
            <w:tcW w:w="1951" w:type="dxa"/>
            <w:tcBorders>
              <w:top w:val="nil"/>
              <w:left w:val="single" w:sz="4" w:space="0" w:color="auto"/>
              <w:bottom w:val="single" w:sz="4" w:space="0" w:color="auto"/>
              <w:right w:val="single" w:sz="4" w:space="0" w:color="auto"/>
            </w:tcBorders>
            <w:shd w:val="clear" w:color="auto" w:fill="auto"/>
            <w:vAlign w:val="center"/>
            <w:hideMark/>
          </w:tcPr>
          <w:p w14:paraId="3E7C8713" w14:textId="77777777" w:rsidR="00F30F6B" w:rsidRPr="00F10A03" w:rsidRDefault="00F30F6B" w:rsidP="00F30F6B">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UKUPNO</w:t>
            </w:r>
          </w:p>
        </w:tc>
        <w:tc>
          <w:tcPr>
            <w:tcW w:w="848" w:type="dxa"/>
            <w:tcBorders>
              <w:top w:val="nil"/>
              <w:left w:val="nil"/>
              <w:bottom w:val="single" w:sz="4" w:space="0" w:color="auto"/>
              <w:right w:val="single" w:sz="4" w:space="0" w:color="auto"/>
            </w:tcBorders>
            <w:shd w:val="clear" w:color="auto" w:fill="auto"/>
            <w:vAlign w:val="center"/>
            <w:hideMark/>
          </w:tcPr>
          <w:p w14:paraId="4A56C84E" w14:textId="77777777" w:rsidR="00F30F6B" w:rsidRPr="00F10A03" w:rsidRDefault="00F30F6B" w:rsidP="00F30F6B">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465</w:t>
            </w:r>
          </w:p>
        </w:tc>
        <w:tc>
          <w:tcPr>
            <w:tcW w:w="705" w:type="dxa"/>
            <w:tcBorders>
              <w:top w:val="nil"/>
              <w:left w:val="nil"/>
              <w:bottom w:val="single" w:sz="4" w:space="0" w:color="auto"/>
              <w:right w:val="single" w:sz="4" w:space="0" w:color="auto"/>
            </w:tcBorders>
            <w:shd w:val="clear" w:color="auto" w:fill="auto"/>
            <w:vAlign w:val="center"/>
            <w:hideMark/>
          </w:tcPr>
          <w:p w14:paraId="7E4F4175" w14:textId="77777777" w:rsidR="00F30F6B" w:rsidRPr="00F10A03" w:rsidRDefault="00F30F6B" w:rsidP="00F30F6B">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6</w:t>
            </w:r>
          </w:p>
        </w:tc>
        <w:tc>
          <w:tcPr>
            <w:tcW w:w="851" w:type="dxa"/>
            <w:vMerge/>
            <w:tcBorders>
              <w:top w:val="nil"/>
              <w:left w:val="single" w:sz="4" w:space="0" w:color="auto"/>
              <w:bottom w:val="single" w:sz="4" w:space="0" w:color="auto"/>
              <w:right w:val="single" w:sz="4" w:space="0" w:color="auto"/>
            </w:tcBorders>
            <w:vAlign w:val="center"/>
            <w:hideMark/>
          </w:tcPr>
          <w:p w14:paraId="418F1FA3"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c>
          <w:tcPr>
            <w:tcW w:w="845" w:type="dxa"/>
            <w:vMerge/>
            <w:tcBorders>
              <w:top w:val="nil"/>
              <w:left w:val="single" w:sz="4" w:space="0" w:color="auto"/>
              <w:bottom w:val="single" w:sz="4" w:space="0" w:color="auto"/>
              <w:right w:val="single" w:sz="4" w:space="0" w:color="auto"/>
            </w:tcBorders>
            <w:vAlign w:val="center"/>
            <w:hideMark/>
          </w:tcPr>
          <w:p w14:paraId="2ABD8D0D"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c>
          <w:tcPr>
            <w:tcW w:w="704" w:type="dxa"/>
            <w:vMerge/>
            <w:tcBorders>
              <w:top w:val="nil"/>
              <w:left w:val="single" w:sz="4" w:space="0" w:color="auto"/>
              <w:bottom w:val="single" w:sz="4" w:space="0" w:color="auto"/>
              <w:right w:val="single" w:sz="4" w:space="0" w:color="auto"/>
            </w:tcBorders>
            <w:vAlign w:val="center"/>
            <w:hideMark/>
          </w:tcPr>
          <w:p w14:paraId="44D90796"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c>
          <w:tcPr>
            <w:tcW w:w="472" w:type="dxa"/>
            <w:vMerge/>
            <w:tcBorders>
              <w:top w:val="nil"/>
              <w:left w:val="single" w:sz="4" w:space="0" w:color="auto"/>
              <w:bottom w:val="single" w:sz="4" w:space="0" w:color="auto"/>
              <w:right w:val="single" w:sz="4" w:space="0" w:color="auto"/>
            </w:tcBorders>
            <w:vAlign w:val="center"/>
            <w:hideMark/>
          </w:tcPr>
          <w:p w14:paraId="5504D37E"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c>
          <w:tcPr>
            <w:tcW w:w="683" w:type="dxa"/>
            <w:vMerge/>
            <w:tcBorders>
              <w:top w:val="nil"/>
              <w:left w:val="single" w:sz="4" w:space="0" w:color="auto"/>
              <w:bottom w:val="single" w:sz="4" w:space="0" w:color="auto"/>
              <w:right w:val="single" w:sz="4" w:space="0" w:color="auto"/>
            </w:tcBorders>
            <w:vAlign w:val="center"/>
            <w:hideMark/>
          </w:tcPr>
          <w:p w14:paraId="353265FC"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c>
          <w:tcPr>
            <w:tcW w:w="707" w:type="dxa"/>
            <w:vMerge/>
            <w:tcBorders>
              <w:top w:val="nil"/>
              <w:left w:val="single" w:sz="4" w:space="0" w:color="auto"/>
              <w:bottom w:val="single" w:sz="4" w:space="0" w:color="auto"/>
              <w:right w:val="single" w:sz="4" w:space="0" w:color="auto"/>
            </w:tcBorders>
            <w:vAlign w:val="center"/>
            <w:hideMark/>
          </w:tcPr>
          <w:p w14:paraId="697F4CE3"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c>
          <w:tcPr>
            <w:tcW w:w="483" w:type="dxa"/>
            <w:vMerge/>
            <w:tcBorders>
              <w:top w:val="nil"/>
              <w:left w:val="single" w:sz="4" w:space="0" w:color="auto"/>
              <w:bottom w:val="single" w:sz="4" w:space="0" w:color="auto"/>
              <w:right w:val="single" w:sz="4" w:space="0" w:color="auto"/>
            </w:tcBorders>
            <w:vAlign w:val="center"/>
            <w:hideMark/>
          </w:tcPr>
          <w:p w14:paraId="53B58039"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c>
          <w:tcPr>
            <w:tcW w:w="818" w:type="dxa"/>
            <w:vMerge/>
            <w:tcBorders>
              <w:top w:val="nil"/>
              <w:left w:val="single" w:sz="4" w:space="0" w:color="auto"/>
              <w:bottom w:val="single" w:sz="4" w:space="0" w:color="auto"/>
              <w:right w:val="single" w:sz="4" w:space="0" w:color="auto"/>
            </w:tcBorders>
            <w:vAlign w:val="center"/>
            <w:hideMark/>
          </w:tcPr>
          <w:p w14:paraId="7504E9CA" w14:textId="77777777" w:rsidR="00F30F6B" w:rsidRPr="00F10A03" w:rsidRDefault="00F30F6B" w:rsidP="00F30F6B">
            <w:pPr>
              <w:spacing w:after="0" w:line="240" w:lineRule="auto"/>
              <w:rPr>
                <w:rFonts w:ascii="Times New Roman" w:eastAsia="Times New Roman" w:hAnsi="Times New Roman" w:cs="Times New Roman"/>
                <w:color w:val="000000"/>
                <w:sz w:val="20"/>
                <w:szCs w:val="20"/>
                <w:lang w:eastAsia="hr-HR"/>
              </w:rPr>
            </w:pPr>
          </w:p>
        </w:tc>
      </w:tr>
      <w:tr w:rsidR="00F30F6B" w:rsidRPr="00F10A03" w14:paraId="390A5631" w14:textId="77777777" w:rsidTr="00F10A03">
        <w:trPr>
          <w:trHeight w:hRule="exact" w:val="300"/>
        </w:trPr>
        <w:tc>
          <w:tcPr>
            <w:tcW w:w="195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B1C4F25" w14:textId="77777777" w:rsidR="00F30F6B" w:rsidRPr="00F10A03" w:rsidRDefault="00F30F6B" w:rsidP="00F30F6B">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UKUPNO</w:t>
            </w:r>
          </w:p>
        </w:tc>
        <w:tc>
          <w:tcPr>
            <w:tcW w:w="1553"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8150087" w14:textId="77777777" w:rsidR="00F30F6B" w:rsidRPr="00F10A03" w:rsidRDefault="00F30F6B" w:rsidP="00F30F6B">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471</w:t>
            </w:r>
          </w:p>
        </w:tc>
        <w:tc>
          <w:tcPr>
            <w:tcW w:w="169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8C21CD2" w14:textId="77777777" w:rsidR="00F30F6B" w:rsidRPr="00F10A03" w:rsidRDefault="00F30F6B" w:rsidP="00F30F6B">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250</w:t>
            </w:r>
          </w:p>
        </w:tc>
        <w:tc>
          <w:tcPr>
            <w:tcW w:w="117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9D8A610" w14:textId="77777777" w:rsidR="00F30F6B" w:rsidRPr="00F10A03" w:rsidRDefault="00F30F6B" w:rsidP="00F30F6B">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17</w:t>
            </w:r>
          </w:p>
        </w:tc>
        <w:tc>
          <w:tcPr>
            <w:tcW w:w="139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767A4BC" w14:textId="77777777" w:rsidR="00F30F6B" w:rsidRPr="00F10A03" w:rsidRDefault="00F30F6B" w:rsidP="00F30F6B">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10</w:t>
            </w:r>
          </w:p>
        </w:tc>
        <w:tc>
          <w:tcPr>
            <w:tcW w:w="1301"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E276995" w14:textId="77777777" w:rsidR="00F30F6B" w:rsidRPr="00F10A03" w:rsidRDefault="00F30F6B" w:rsidP="00F30F6B">
            <w:pPr>
              <w:spacing w:after="0" w:line="240" w:lineRule="auto"/>
              <w:jc w:val="center"/>
              <w:rPr>
                <w:rFonts w:ascii="Times New Roman" w:eastAsia="Times New Roman" w:hAnsi="Times New Roman" w:cs="Times New Roman"/>
                <w:b/>
                <w:bCs/>
                <w:color w:val="000000"/>
                <w:sz w:val="20"/>
                <w:szCs w:val="20"/>
                <w:lang w:eastAsia="hr-HR"/>
              </w:rPr>
            </w:pPr>
            <w:r w:rsidRPr="00F10A03">
              <w:rPr>
                <w:rFonts w:ascii="Times New Roman" w:eastAsia="Calibri" w:hAnsi="Times New Roman" w:cs="Times New Roman"/>
                <w:b/>
                <w:bCs/>
                <w:color w:val="000000"/>
                <w:sz w:val="20"/>
                <w:szCs w:val="20"/>
                <w:lang w:eastAsia="hr-HR"/>
              </w:rPr>
              <w:t>8</w:t>
            </w:r>
          </w:p>
        </w:tc>
      </w:tr>
    </w:tbl>
    <w:p w14:paraId="5C996034" w14:textId="77777777" w:rsidR="00F30F6B" w:rsidRPr="003A5ECC" w:rsidRDefault="00F30F6B" w:rsidP="00F30F6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fldChar w:fldCharType="end"/>
      </w:r>
    </w:p>
    <w:p w14:paraId="355F19E4" w14:textId="77777777" w:rsidR="004665E0" w:rsidRPr="008121A2" w:rsidRDefault="004665E0" w:rsidP="00F71E3B">
      <w:pPr>
        <w:widowControl w:val="0"/>
        <w:autoSpaceDE w:val="0"/>
        <w:autoSpaceDN w:val="0"/>
        <w:adjustRightInd w:val="0"/>
        <w:spacing w:after="0" w:line="240" w:lineRule="auto"/>
        <w:jc w:val="both"/>
        <w:rPr>
          <w:rFonts w:ascii="Times New Roman" w:eastAsia="Calibri" w:hAnsi="Times New Roman" w:cs="Times New Roman"/>
          <w:b/>
          <w:sz w:val="24"/>
          <w:szCs w:val="24"/>
          <w:lang w:eastAsia="hr-HR"/>
        </w:rPr>
      </w:pPr>
      <w:r w:rsidRPr="008121A2">
        <w:rPr>
          <w:rFonts w:ascii="Times New Roman" w:eastAsia="Calibri" w:hAnsi="Times New Roman" w:cs="Times New Roman"/>
          <w:b/>
          <w:sz w:val="24"/>
          <w:szCs w:val="24"/>
          <w:u w:val="single"/>
          <w:lang w:eastAsia="hr-HR"/>
        </w:rPr>
        <w:t>Statistički podatci Ureda</w:t>
      </w:r>
      <w:r w:rsidRPr="008121A2">
        <w:rPr>
          <w:rFonts w:ascii="Times New Roman" w:eastAsia="Calibri" w:hAnsi="Times New Roman" w:cs="Times New Roman"/>
          <w:b/>
          <w:sz w:val="24"/>
          <w:szCs w:val="24"/>
          <w:lang w:eastAsia="hr-HR"/>
        </w:rPr>
        <w:t>:</w:t>
      </w:r>
    </w:p>
    <w:p w14:paraId="1C710870" w14:textId="5163A15B" w:rsidR="004665E0" w:rsidRPr="0065059B" w:rsidRDefault="004665E0" w:rsidP="00BD4933">
      <w:pPr>
        <w:numPr>
          <w:ilvl w:val="0"/>
          <w:numId w:val="5"/>
        </w:numPr>
        <w:spacing w:after="0" w:line="240" w:lineRule="auto"/>
        <w:jc w:val="both"/>
        <w:rPr>
          <w:rFonts w:ascii="Times New Roman" w:eastAsia="Times New Roman" w:hAnsi="Times New Roman" w:cs="Times New Roman"/>
          <w:sz w:val="24"/>
          <w:szCs w:val="24"/>
          <w:lang w:eastAsia="hr-HR"/>
        </w:rPr>
      </w:pPr>
      <w:r w:rsidRPr="0065059B">
        <w:rPr>
          <w:rFonts w:ascii="Times New Roman" w:eastAsia="Times New Roman" w:hAnsi="Times New Roman" w:cs="Times New Roman"/>
          <w:sz w:val="24"/>
          <w:szCs w:val="24"/>
          <w:lang w:eastAsia="hr-HR"/>
        </w:rPr>
        <w:t xml:space="preserve">broj otvorenih analitičkih predmeta sa sumnjom na </w:t>
      </w:r>
      <w:r w:rsidR="00A12F52">
        <w:rPr>
          <w:rFonts w:ascii="Times New Roman" w:eastAsia="Times New Roman" w:hAnsi="Times New Roman" w:cs="Times New Roman"/>
          <w:sz w:val="24"/>
          <w:szCs w:val="24"/>
          <w:lang w:eastAsia="hr-HR"/>
        </w:rPr>
        <w:t>PN/FT</w:t>
      </w:r>
      <w:r w:rsidRPr="0065059B">
        <w:rPr>
          <w:rFonts w:ascii="Times New Roman" w:eastAsia="Times New Roman" w:hAnsi="Times New Roman" w:cs="Times New Roman"/>
          <w:sz w:val="24"/>
          <w:szCs w:val="24"/>
          <w:lang w:eastAsia="hr-HR"/>
        </w:rPr>
        <w:t xml:space="preserve"> – 4</w:t>
      </w:r>
      <w:r w:rsidR="009F26F4" w:rsidRPr="0065059B">
        <w:rPr>
          <w:rFonts w:ascii="Times New Roman" w:eastAsia="Times New Roman" w:hAnsi="Times New Roman" w:cs="Times New Roman"/>
          <w:sz w:val="24"/>
          <w:szCs w:val="24"/>
          <w:lang w:eastAsia="hr-HR"/>
        </w:rPr>
        <w:t>71</w:t>
      </w:r>
    </w:p>
    <w:p w14:paraId="375D648A" w14:textId="2359CD71" w:rsidR="004665E0" w:rsidRPr="0065059B" w:rsidRDefault="004665E0" w:rsidP="00BD4933">
      <w:pPr>
        <w:widowControl w:val="0"/>
        <w:numPr>
          <w:ilvl w:val="0"/>
          <w:numId w:val="5"/>
        </w:numPr>
        <w:autoSpaceDE w:val="0"/>
        <w:autoSpaceDN w:val="0"/>
        <w:adjustRightInd w:val="0"/>
        <w:spacing w:after="0" w:line="240" w:lineRule="auto"/>
        <w:jc w:val="both"/>
        <w:rPr>
          <w:rFonts w:ascii="Times New Roman" w:eastAsia="Calibri" w:hAnsi="Times New Roman" w:cs="Times New Roman"/>
          <w:b/>
          <w:sz w:val="24"/>
          <w:szCs w:val="24"/>
          <w:u w:val="single"/>
          <w:lang w:eastAsia="hr-HR"/>
        </w:rPr>
      </w:pPr>
      <w:r w:rsidRPr="0065059B">
        <w:rPr>
          <w:rFonts w:ascii="Times New Roman" w:eastAsia="Times New Roman" w:hAnsi="Times New Roman" w:cs="Times New Roman"/>
          <w:sz w:val="24"/>
          <w:szCs w:val="24"/>
          <w:lang w:eastAsia="hr-HR"/>
        </w:rPr>
        <w:t xml:space="preserve">broj proslijeđenih </w:t>
      </w:r>
      <w:r w:rsidR="009F26F4" w:rsidRPr="0065059B">
        <w:rPr>
          <w:rFonts w:ascii="Times New Roman" w:eastAsia="Times New Roman" w:hAnsi="Times New Roman" w:cs="Times New Roman"/>
          <w:sz w:val="24"/>
          <w:szCs w:val="24"/>
          <w:lang w:eastAsia="hr-HR"/>
        </w:rPr>
        <w:t>operativnih analiza sumnjivih transakcija (</w:t>
      </w:r>
      <w:r w:rsidRPr="0065059B">
        <w:rPr>
          <w:rFonts w:ascii="Times New Roman" w:eastAsia="Times New Roman" w:hAnsi="Times New Roman" w:cs="Times New Roman"/>
          <w:sz w:val="24"/>
          <w:szCs w:val="24"/>
          <w:lang w:eastAsia="hr-HR"/>
        </w:rPr>
        <w:t>slučajeva</w:t>
      </w:r>
      <w:r w:rsidR="009F26F4" w:rsidRPr="0065059B">
        <w:rPr>
          <w:rFonts w:ascii="Times New Roman" w:eastAsia="Times New Roman" w:hAnsi="Times New Roman" w:cs="Times New Roman"/>
          <w:sz w:val="24"/>
          <w:szCs w:val="24"/>
          <w:lang w:eastAsia="hr-HR"/>
        </w:rPr>
        <w:t>)</w:t>
      </w:r>
      <w:r w:rsidRPr="0065059B">
        <w:rPr>
          <w:rFonts w:ascii="Times New Roman" w:eastAsia="Times New Roman" w:hAnsi="Times New Roman" w:cs="Times New Roman"/>
          <w:sz w:val="24"/>
          <w:szCs w:val="24"/>
          <w:lang w:eastAsia="hr-HR"/>
        </w:rPr>
        <w:t xml:space="preserve"> nadležnim tijelima sa sumnjom na</w:t>
      </w:r>
      <w:r w:rsidR="00E205F1" w:rsidRPr="00E205F1">
        <w:rPr>
          <w:rFonts w:ascii="Times New Roman" w:eastAsia="Times New Roman" w:hAnsi="Times New Roman" w:cs="Times New Roman"/>
          <w:sz w:val="24"/>
          <w:szCs w:val="24"/>
          <w:lang w:eastAsia="hr-HR"/>
        </w:rPr>
        <w:t xml:space="preserve"> </w:t>
      </w:r>
      <w:r w:rsidR="00E205F1">
        <w:rPr>
          <w:rFonts w:ascii="Times New Roman" w:eastAsia="Times New Roman" w:hAnsi="Times New Roman" w:cs="Times New Roman"/>
          <w:sz w:val="24"/>
          <w:szCs w:val="24"/>
          <w:lang w:eastAsia="hr-HR"/>
        </w:rPr>
        <w:t xml:space="preserve">PN/FT </w:t>
      </w:r>
      <w:r w:rsidRPr="0065059B">
        <w:rPr>
          <w:rFonts w:ascii="Times New Roman" w:eastAsia="Times New Roman" w:hAnsi="Times New Roman" w:cs="Times New Roman"/>
          <w:sz w:val="24"/>
          <w:szCs w:val="24"/>
          <w:lang w:eastAsia="hr-HR"/>
        </w:rPr>
        <w:t>– 2</w:t>
      </w:r>
      <w:r w:rsidR="009F26F4" w:rsidRPr="0065059B">
        <w:rPr>
          <w:rFonts w:ascii="Times New Roman" w:eastAsia="Times New Roman" w:hAnsi="Times New Roman" w:cs="Times New Roman"/>
          <w:sz w:val="24"/>
          <w:szCs w:val="24"/>
          <w:lang w:eastAsia="hr-HR"/>
        </w:rPr>
        <w:t>50</w:t>
      </w:r>
    </w:p>
    <w:p w14:paraId="14E6D049" w14:textId="77777777" w:rsidR="009F26F4" w:rsidRPr="0065059B" w:rsidRDefault="009F26F4" w:rsidP="0085684C">
      <w:pPr>
        <w:widowControl w:val="0"/>
        <w:autoSpaceDE w:val="0"/>
        <w:autoSpaceDN w:val="0"/>
        <w:adjustRightInd w:val="0"/>
        <w:spacing w:after="0" w:line="240" w:lineRule="auto"/>
        <w:ind w:left="720"/>
        <w:jc w:val="both"/>
        <w:rPr>
          <w:rFonts w:ascii="Times New Roman" w:eastAsia="Calibri" w:hAnsi="Times New Roman" w:cs="Times New Roman"/>
          <w:b/>
          <w:sz w:val="24"/>
          <w:szCs w:val="24"/>
          <w:u w:val="single"/>
          <w:lang w:eastAsia="hr-HR"/>
        </w:rPr>
      </w:pPr>
    </w:p>
    <w:p w14:paraId="75D1454D" w14:textId="6D3EFFB4" w:rsidR="00F71E3B" w:rsidRPr="00D80C7C" w:rsidRDefault="00D80C7C" w:rsidP="00F71E3B">
      <w:pPr>
        <w:spacing w:after="0" w:line="240" w:lineRule="auto"/>
        <w:rPr>
          <w:rFonts w:ascii="Times New Roman" w:hAnsi="Times New Roman" w:cs="Times New Roman"/>
          <w:b/>
          <w:sz w:val="24"/>
          <w:szCs w:val="24"/>
          <w:lang w:val="en-GB"/>
        </w:rPr>
      </w:pPr>
      <w:bookmarkStart w:id="18" w:name="_Toc74662614"/>
      <w:r w:rsidRPr="00D80C7C">
        <w:rPr>
          <w:rFonts w:ascii="Times New Roman" w:hAnsi="Times New Roman" w:cs="Times New Roman"/>
          <w:b/>
          <w:sz w:val="24"/>
          <w:szCs w:val="24"/>
          <w:lang w:val="en-GB"/>
        </w:rPr>
        <w:t xml:space="preserve">2.5.1. </w:t>
      </w:r>
      <w:r w:rsidR="00F71E3B" w:rsidRPr="00D80C7C">
        <w:rPr>
          <w:rFonts w:ascii="Times New Roman" w:hAnsi="Times New Roman" w:cs="Times New Roman"/>
          <w:b/>
          <w:sz w:val="24"/>
          <w:szCs w:val="24"/>
          <w:lang w:val="en-GB"/>
        </w:rPr>
        <w:t>Pravosudna statistika za kazneno djelo Pranje novca iz članka 265. Kaznenog zakona</w:t>
      </w:r>
    </w:p>
    <w:p w14:paraId="785C916E" w14:textId="77777777" w:rsidR="00F71E3B" w:rsidRPr="00F71E3B" w:rsidRDefault="00F71E3B" w:rsidP="00F71E3B">
      <w:pPr>
        <w:spacing w:after="0" w:line="240" w:lineRule="auto"/>
        <w:rPr>
          <w:rFonts w:ascii="Times New Roman" w:hAnsi="Times New Roman" w:cs="Times New Roman"/>
          <w:sz w:val="24"/>
          <w:szCs w:val="24"/>
        </w:rPr>
      </w:pPr>
    </w:p>
    <w:p w14:paraId="12442FE9" w14:textId="77777777" w:rsidR="00F71E3B" w:rsidRPr="00F71E3B" w:rsidRDefault="00F71E3B" w:rsidP="00F71E3B">
      <w:pPr>
        <w:spacing w:after="0" w:line="240" w:lineRule="auto"/>
        <w:jc w:val="both"/>
        <w:rPr>
          <w:rFonts w:ascii="Times New Roman" w:hAnsi="Times New Roman" w:cs="Times New Roman"/>
          <w:sz w:val="24"/>
          <w:szCs w:val="24"/>
        </w:rPr>
      </w:pPr>
      <w:r w:rsidRPr="00F71E3B">
        <w:rPr>
          <w:rFonts w:ascii="Times New Roman" w:hAnsi="Times New Roman" w:cs="Times New Roman"/>
          <w:sz w:val="24"/>
          <w:szCs w:val="24"/>
        </w:rPr>
        <w:t xml:space="preserve">Sukladno međunarodnim standardima na području sprječavanja pranja novca i financiranja terorizma, a zbog procjene djelotvornosti cjelovitog sustava, nadležna državna tijela moraju voditi sveobuhvatnu statistiku i dostavljati Uredu podatke o postupcima za kaznena djela pranja novca i financiranja terorizma. </w:t>
      </w:r>
    </w:p>
    <w:p w14:paraId="5CEEB65D" w14:textId="77777777" w:rsidR="00F71E3B" w:rsidRPr="00F71E3B" w:rsidRDefault="00F71E3B" w:rsidP="00F71E3B">
      <w:pPr>
        <w:spacing w:after="0" w:line="240" w:lineRule="auto"/>
        <w:jc w:val="both"/>
        <w:rPr>
          <w:rFonts w:ascii="Times New Roman" w:hAnsi="Times New Roman" w:cs="Times New Roman"/>
          <w:sz w:val="24"/>
          <w:szCs w:val="24"/>
        </w:rPr>
      </w:pPr>
    </w:p>
    <w:p w14:paraId="4CD6FAE1" w14:textId="24B8EE95" w:rsidR="00F71E3B" w:rsidRPr="00F71E3B" w:rsidRDefault="00F71E3B" w:rsidP="00F71E3B">
      <w:pPr>
        <w:spacing w:after="0" w:line="240" w:lineRule="auto"/>
        <w:jc w:val="both"/>
        <w:rPr>
          <w:rFonts w:ascii="Times New Roman" w:hAnsi="Times New Roman" w:cs="Times New Roman"/>
          <w:sz w:val="24"/>
          <w:szCs w:val="24"/>
        </w:rPr>
      </w:pPr>
      <w:r w:rsidRPr="00F71E3B">
        <w:rPr>
          <w:rFonts w:ascii="Times New Roman" w:hAnsi="Times New Roman" w:cs="Times New Roman"/>
          <w:sz w:val="24"/>
          <w:szCs w:val="24"/>
        </w:rPr>
        <w:t xml:space="preserve">Na temelju čl. 148. st. 9. </w:t>
      </w:r>
      <w:r w:rsidR="00A12F52">
        <w:rPr>
          <w:rFonts w:ascii="Times New Roman" w:hAnsi="Times New Roman" w:cs="Times New Roman"/>
          <w:sz w:val="24"/>
          <w:szCs w:val="24"/>
        </w:rPr>
        <w:t>Zakona donesen</w:t>
      </w:r>
      <w:r w:rsidRPr="00F71E3B">
        <w:rPr>
          <w:rFonts w:ascii="Times New Roman" w:hAnsi="Times New Roman" w:cs="Times New Roman"/>
          <w:sz w:val="24"/>
          <w:szCs w:val="24"/>
        </w:rPr>
        <w:t xml:space="preserve"> je Pravilnik o načinu i rokovima dostavljanja podataka Uredu za sprječavanje pranja novca o kaznenom djelu pranja novca, povezanim predikatnim kaznenim djelima ili kaznenom djelu financiranja terorizma (NN br. 1/19). Pravilnikom je propisana obveza državnim odvjetništvima i sudovima dva puta godišnje na </w:t>
      </w:r>
      <w:r w:rsidRPr="00F71E3B">
        <w:rPr>
          <w:rFonts w:ascii="Times New Roman" w:hAnsi="Times New Roman" w:cs="Times New Roman"/>
          <w:sz w:val="24"/>
          <w:szCs w:val="24"/>
        </w:rPr>
        <w:lastRenderedPageBreak/>
        <w:t>propisanom obrascu dostaviti Uredu za sprječavanje pranja novca podatke o osobama protiv kojih je pokrenuta istraga, podignuta optužnica ili donesena sudska odluka za kaznena djela pranje novca ili financiranja terorizma, te o predikatnim kaznenim djelima u vezi s pranjem novca.</w:t>
      </w:r>
    </w:p>
    <w:p w14:paraId="6E63758F" w14:textId="77777777" w:rsidR="00F71E3B" w:rsidRPr="00F71E3B" w:rsidRDefault="00F71E3B" w:rsidP="00F71E3B">
      <w:pPr>
        <w:spacing w:after="0" w:line="240" w:lineRule="auto"/>
        <w:jc w:val="both"/>
        <w:rPr>
          <w:rFonts w:ascii="Times New Roman" w:hAnsi="Times New Roman" w:cs="Times New Roman"/>
          <w:sz w:val="24"/>
          <w:szCs w:val="24"/>
        </w:rPr>
      </w:pPr>
    </w:p>
    <w:p w14:paraId="78A1D765" w14:textId="0B5D6CA2" w:rsidR="00F71E3B" w:rsidRPr="00F71E3B" w:rsidRDefault="00F71E3B" w:rsidP="00F71E3B">
      <w:pPr>
        <w:spacing w:after="0" w:line="240" w:lineRule="auto"/>
        <w:jc w:val="both"/>
        <w:rPr>
          <w:rFonts w:ascii="Times New Roman" w:hAnsi="Times New Roman" w:cs="Times New Roman"/>
          <w:sz w:val="24"/>
          <w:szCs w:val="24"/>
        </w:rPr>
      </w:pPr>
      <w:r w:rsidRPr="00F71E3B">
        <w:rPr>
          <w:rFonts w:ascii="Times New Roman" w:hAnsi="Times New Roman" w:cs="Times New Roman"/>
          <w:sz w:val="24"/>
          <w:szCs w:val="24"/>
        </w:rPr>
        <w:t xml:space="preserve">Obrazac na kojem državna odvjetništva i sudovi dostavljaju podatke </w:t>
      </w:r>
      <w:r w:rsidR="00A12F52">
        <w:rPr>
          <w:rFonts w:ascii="Times New Roman" w:hAnsi="Times New Roman" w:cs="Times New Roman"/>
          <w:sz w:val="24"/>
          <w:szCs w:val="24"/>
        </w:rPr>
        <w:t>sadržava</w:t>
      </w:r>
      <w:r w:rsidRPr="00F71E3B">
        <w:rPr>
          <w:rFonts w:ascii="Times New Roman" w:hAnsi="Times New Roman" w:cs="Times New Roman"/>
          <w:sz w:val="24"/>
          <w:szCs w:val="24"/>
        </w:rPr>
        <w:t xml:space="preserve"> i dostavu</w:t>
      </w:r>
      <w:r w:rsidR="00A12F52">
        <w:rPr>
          <w:rFonts w:ascii="Times New Roman" w:hAnsi="Times New Roman" w:cs="Times New Roman"/>
          <w:sz w:val="24"/>
          <w:szCs w:val="24"/>
        </w:rPr>
        <w:t xml:space="preserve"> podataka</w:t>
      </w:r>
      <w:r w:rsidRPr="00F71E3B">
        <w:rPr>
          <w:rFonts w:ascii="Times New Roman" w:hAnsi="Times New Roman" w:cs="Times New Roman"/>
          <w:sz w:val="24"/>
          <w:szCs w:val="24"/>
        </w:rPr>
        <w:t>:</w:t>
      </w:r>
    </w:p>
    <w:p w14:paraId="73D145FC" w14:textId="3FD6BE2B" w:rsidR="00F71E3B" w:rsidRPr="00F71E3B" w:rsidRDefault="00F71E3B" w:rsidP="00BD4933">
      <w:pPr>
        <w:numPr>
          <w:ilvl w:val="0"/>
          <w:numId w:val="17"/>
        </w:numPr>
        <w:spacing w:after="0" w:line="240" w:lineRule="auto"/>
        <w:jc w:val="both"/>
        <w:rPr>
          <w:rFonts w:ascii="Times New Roman" w:hAnsi="Times New Roman" w:cs="Times New Roman"/>
          <w:sz w:val="24"/>
          <w:szCs w:val="24"/>
        </w:rPr>
      </w:pPr>
      <w:r w:rsidRPr="00F71E3B">
        <w:rPr>
          <w:rFonts w:ascii="Times New Roman" w:hAnsi="Times New Roman" w:cs="Times New Roman"/>
          <w:sz w:val="24"/>
          <w:szCs w:val="24"/>
        </w:rPr>
        <w:t>o mjerama i radnjama poduzetim u svezi sredstava, prihoda ili imovine osobe protiv koje se vodi postupak (npr. mjere osiguranja prisilnog oduzimanja sredstava, prihoda ili imovine, oduzimanje imovinske koristi ostvarene kaznenim djelom, privremena obustava izvršenja sumnjivih financijskih transakcija);</w:t>
      </w:r>
    </w:p>
    <w:p w14:paraId="3E76BDF9" w14:textId="296B2C55" w:rsidR="00F71E3B" w:rsidRPr="00F71E3B" w:rsidRDefault="00F71E3B" w:rsidP="00BD4933">
      <w:pPr>
        <w:numPr>
          <w:ilvl w:val="0"/>
          <w:numId w:val="17"/>
        </w:numPr>
        <w:spacing w:after="0" w:line="240" w:lineRule="auto"/>
        <w:jc w:val="both"/>
        <w:rPr>
          <w:rFonts w:ascii="Times New Roman" w:hAnsi="Times New Roman" w:cs="Times New Roman"/>
          <w:sz w:val="24"/>
          <w:szCs w:val="24"/>
        </w:rPr>
      </w:pPr>
      <w:r w:rsidRPr="00F71E3B">
        <w:rPr>
          <w:rFonts w:ascii="Times New Roman" w:hAnsi="Times New Roman" w:cs="Times New Roman"/>
          <w:sz w:val="24"/>
          <w:szCs w:val="24"/>
        </w:rPr>
        <w:t>o tome je li u okviru kaznenog postupka zatražena međunarodna pravna pomoć odnosno pravosudna suradnja sa stranim institucijama na temelju Zakona o pravosudnoj suradnji u kaznenim stvarima s državama članicama Europske unije, Strasburške konvencije iz 1990., Varšavske konvencije iz 2005. ili Konvencija Vijeća Europe o uzajamnoj sudskoj pomoći u kaznenim stvarima iz 1959. ili na temelju neke druge pravne osnove.</w:t>
      </w:r>
    </w:p>
    <w:p w14:paraId="6C62C2CF" w14:textId="77777777" w:rsidR="00F71E3B" w:rsidRPr="00F71E3B" w:rsidRDefault="00F71E3B" w:rsidP="00F71E3B">
      <w:pPr>
        <w:spacing w:after="0" w:line="240" w:lineRule="auto"/>
        <w:jc w:val="both"/>
        <w:rPr>
          <w:rFonts w:ascii="Times New Roman" w:hAnsi="Times New Roman" w:cs="Times New Roman"/>
          <w:sz w:val="24"/>
          <w:szCs w:val="24"/>
        </w:rPr>
      </w:pPr>
    </w:p>
    <w:p w14:paraId="23D878BC" w14:textId="433DE836" w:rsidR="00F71E3B" w:rsidRPr="00F71E3B" w:rsidRDefault="00F71E3B" w:rsidP="002B6BD8">
      <w:pPr>
        <w:spacing w:after="0" w:line="240" w:lineRule="auto"/>
        <w:jc w:val="both"/>
        <w:rPr>
          <w:rFonts w:ascii="Times New Roman" w:hAnsi="Times New Roman" w:cs="Times New Roman"/>
          <w:sz w:val="24"/>
          <w:szCs w:val="24"/>
        </w:rPr>
      </w:pPr>
      <w:r w:rsidRPr="00F71E3B">
        <w:rPr>
          <w:rFonts w:ascii="Times New Roman" w:hAnsi="Times New Roman" w:cs="Times New Roman"/>
          <w:sz w:val="24"/>
          <w:szCs w:val="24"/>
        </w:rPr>
        <w:t xml:space="preserve">Prema podatcima dostavljenim Uredu, u razdoblju </w:t>
      </w:r>
      <w:r w:rsidR="00A12F52">
        <w:rPr>
          <w:rFonts w:ascii="Times New Roman" w:hAnsi="Times New Roman" w:cs="Times New Roman"/>
          <w:sz w:val="24"/>
          <w:szCs w:val="24"/>
        </w:rPr>
        <w:t>tijekom 2022.</w:t>
      </w:r>
      <w:r w:rsidRPr="00F71E3B">
        <w:rPr>
          <w:rFonts w:ascii="Times New Roman" w:hAnsi="Times New Roman" w:cs="Times New Roman"/>
          <w:sz w:val="24"/>
          <w:szCs w:val="24"/>
        </w:rPr>
        <w:t xml:space="preserve"> pokrenute su istrage, podignute optužnice ili donesene presude u ukupno 14 kaznenih postupaka protiv ukupno 31 fizičke i 2 pravne osobe:</w:t>
      </w:r>
    </w:p>
    <w:p w14:paraId="429C8FC0" w14:textId="0643881F" w:rsidR="00F71E3B" w:rsidRPr="00F71E3B" w:rsidRDefault="00F71E3B" w:rsidP="00BD4933">
      <w:pPr>
        <w:numPr>
          <w:ilvl w:val="0"/>
          <w:numId w:val="5"/>
        </w:numPr>
        <w:spacing w:after="0" w:line="240" w:lineRule="auto"/>
        <w:jc w:val="both"/>
        <w:rPr>
          <w:rFonts w:ascii="Times New Roman" w:hAnsi="Times New Roman" w:cs="Times New Roman"/>
          <w:sz w:val="24"/>
          <w:szCs w:val="24"/>
        </w:rPr>
      </w:pPr>
      <w:r w:rsidRPr="00F71E3B">
        <w:rPr>
          <w:rFonts w:ascii="Times New Roman" w:hAnsi="Times New Roman" w:cs="Times New Roman"/>
          <w:sz w:val="24"/>
          <w:szCs w:val="24"/>
        </w:rPr>
        <w:t>donesena su rješenja o provođenju istrage pranja novca prot</w:t>
      </w:r>
      <w:r w:rsidR="00A12F52">
        <w:rPr>
          <w:rFonts w:ascii="Times New Roman" w:hAnsi="Times New Roman" w:cs="Times New Roman"/>
          <w:sz w:val="24"/>
          <w:szCs w:val="24"/>
        </w:rPr>
        <w:t>iv 15 fizičkih i 2 pravne osobe</w:t>
      </w:r>
      <w:r w:rsidRPr="00F71E3B">
        <w:rPr>
          <w:rFonts w:ascii="Times New Roman" w:hAnsi="Times New Roman" w:cs="Times New Roman"/>
          <w:sz w:val="24"/>
          <w:szCs w:val="24"/>
        </w:rPr>
        <w:t xml:space="preserve"> </w:t>
      </w:r>
    </w:p>
    <w:p w14:paraId="0B438F39" w14:textId="1FB499C9" w:rsidR="00F71E3B" w:rsidRPr="00F71E3B" w:rsidRDefault="00F71E3B" w:rsidP="00BD4933">
      <w:pPr>
        <w:numPr>
          <w:ilvl w:val="0"/>
          <w:numId w:val="5"/>
        </w:numPr>
        <w:spacing w:after="0" w:line="240" w:lineRule="auto"/>
        <w:jc w:val="both"/>
        <w:rPr>
          <w:rFonts w:ascii="Times New Roman" w:hAnsi="Times New Roman" w:cs="Times New Roman"/>
          <w:sz w:val="24"/>
          <w:szCs w:val="24"/>
        </w:rPr>
      </w:pPr>
      <w:r w:rsidRPr="00F71E3B">
        <w:rPr>
          <w:rFonts w:ascii="Times New Roman" w:hAnsi="Times New Roman" w:cs="Times New Roman"/>
          <w:sz w:val="24"/>
          <w:szCs w:val="24"/>
        </w:rPr>
        <w:t>podignute su optužnice za pranje</w:t>
      </w:r>
      <w:r w:rsidR="00A12F52">
        <w:rPr>
          <w:rFonts w:ascii="Times New Roman" w:hAnsi="Times New Roman" w:cs="Times New Roman"/>
          <w:sz w:val="24"/>
          <w:szCs w:val="24"/>
        </w:rPr>
        <w:t xml:space="preserve"> novca protiv 10 fizičkih osoba</w:t>
      </w:r>
      <w:r w:rsidRPr="00F71E3B">
        <w:rPr>
          <w:rFonts w:ascii="Times New Roman" w:hAnsi="Times New Roman" w:cs="Times New Roman"/>
          <w:sz w:val="24"/>
          <w:szCs w:val="24"/>
        </w:rPr>
        <w:t xml:space="preserve"> </w:t>
      </w:r>
    </w:p>
    <w:p w14:paraId="39DA2259" w14:textId="77777777" w:rsidR="00F71E3B" w:rsidRPr="00F71E3B" w:rsidRDefault="00F71E3B" w:rsidP="00BD4933">
      <w:pPr>
        <w:numPr>
          <w:ilvl w:val="0"/>
          <w:numId w:val="5"/>
        </w:numPr>
        <w:spacing w:after="0" w:line="240" w:lineRule="auto"/>
        <w:jc w:val="both"/>
        <w:rPr>
          <w:rFonts w:ascii="Times New Roman" w:hAnsi="Times New Roman" w:cs="Times New Roman"/>
          <w:sz w:val="24"/>
          <w:szCs w:val="24"/>
        </w:rPr>
      </w:pPr>
      <w:r w:rsidRPr="00F71E3B">
        <w:rPr>
          <w:rFonts w:ascii="Times New Roman" w:hAnsi="Times New Roman" w:cs="Times New Roman"/>
          <w:sz w:val="24"/>
          <w:szCs w:val="24"/>
        </w:rPr>
        <w:t>donesene su osuđujuće presude za pranje novca protiv 8 fizičkih osoba.</w:t>
      </w:r>
    </w:p>
    <w:p w14:paraId="0064835B" w14:textId="77777777" w:rsidR="00F71E3B" w:rsidRPr="00F71E3B" w:rsidRDefault="00F71E3B" w:rsidP="002B6BD8">
      <w:pPr>
        <w:spacing w:after="0" w:line="240" w:lineRule="auto"/>
        <w:jc w:val="both"/>
        <w:rPr>
          <w:rFonts w:ascii="Times New Roman" w:hAnsi="Times New Roman" w:cs="Times New Roman"/>
          <w:b/>
          <w:sz w:val="24"/>
          <w:szCs w:val="24"/>
        </w:rPr>
      </w:pPr>
    </w:p>
    <w:p w14:paraId="2B0FF76D" w14:textId="77777777" w:rsidR="00F71E3B" w:rsidRPr="00F71E3B" w:rsidRDefault="00F71E3B" w:rsidP="00F71E3B">
      <w:pPr>
        <w:spacing w:after="0" w:line="240" w:lineRule="auto"/>
        <w:jc w:val="both"/>
        <w:rPr>
          <w:rFonts w:ascii="Times New Roman" w:hAnsi="Times New Roman" w:cs="Times New Roman"/>
          <w:sz w:val="24"/>
          <w:szCs w:val="24"/>
          <w:u w:val="single"/>
        </w:rPr>
      </w:pPr>
      <w:r w:rsidRPr="00F71E3B">
        <w:rPr>
          <w:rFonts w:ascii="Times New Roman" w:hAnsi="Times New Roman" w:cs="Times New Roman"/>
          <w:sz w:val="24"/>
          <w:szCs w:val="24"/>
          <w:u w:val="single"/>
        </w:rPr>
        <w:t>Predikatna kaznena djela u kaznenim postupcima za pranje novca</w:t>
      </w:r>
    </w:p>
    <w:p w14:paraId="1E93E160" w14:textId="77777777" w:rsidR="00F71E3B" w:rsidRPr="00F71E3B" w:rsidRDefault="00F71E3B" w:rsidP="00F71E3B">
      <w:pPr>
        <w:spacing w:after="0" w:line="240" w:lineRule="auto"/>
        <w:jc w:val="both"/>
        <w:rPr>
          <w:rFonts w:ascii="Times New Roman" w:hAnsi="Times New Roman" w:cs="Times New Roman"/>
          <w:sz w:val="24"/>
          <w:szCs w:val="24"/>
        </w:rPr>
      </w:pPr>
    </w:p>
    <w:p w14:paraId="2A39DA65" w14:textId="2A06B6A5" w:rsidR="00F71E3B" w:rsidRPr="00F71E3B" w:rsidRDefault="00F71E3B" w:rsidP="00F71E3B">
      <w:pPr>
        <w:spacing w:after="0" w:line="240" w:lineRule="auto"/>
        <w:jc w:val="both"/>
        <w:rPr>
          <w:rFonts w:ascii="Times New Roman" w:hAnsi="Times New Roman" w:cs="Times New Roman"/>
          <w:sz w:val="24"/>
          <w:szCs w:val="24"/>
        </w:rPr>
      </w:pPr>
      <w:r w:rsidRPr="00F71E3B">
        <w:rPr>
          <w:rFonts w:ascii="Times New Roman" w:hAnsi="Times New Roman" w:cs="Times New Roman"/>
          <w:sz w:val="24"/>
          <w:szCs w:val="24"/>
        </w:rPr>
        <w:t xml:space="preserve">Analizom zaprimljenih podataka o kaznenim postupcima kojima su u razdoblju od 1.1.2022. do 31.12.2022. </w:t>
      </w:r>
      <w:r w:rsidR="00A12F52">
        <w:rPr>
          <w:rFonts w:ascii="Times New Roman" w:hAnsi="Times New Roman" w:cs="Times New Roman"/>
          <w:sz w:val="24"/>
          <w:szCs w:val="24"/>
        </w:rPr>
        <w:t>p</w:t>
      </w:r>
      <w:r w:rsidRPr="00F71E3B">
        <w:rPr>
          <w:rFonts w:ascii="Times New Roman" w:hAnsi="Times New Roman" w:cs="Times New Roman"/>
          <w:sz w:val="24"/>
          <w:szCs w:val="24"/>
        </w:rPr>
        <w:t>okrenute istrage, podignute optužnice ili donesene presude za kazneno djelo Pranje novca iz članka 265. KZ-a, kaznene predmete pranja novca moguće je po predikatnim kaznenim djelima</w:t>
      </w:r>
      <w:r w:rsidRPr="00F71E3B">
        <w:rPr>
          <w:rFonts w:ascii="Times New Roman" w:hAnsi="Times New Roman" w:cs="Times New Roman"/>
          <w:sz w:val="24"/>
          <w:szCs w:val="24"/>
          <w:vertAlign w:val="superscript"/>
        </w:rPr>
        <w:footnoteReference w:id="1"/>
      </w:r>
      <w:r w:rsidRPr="00F71E3B">
        <w:rPr>
          <w:rFonts w:ascii="Times New Roman" w:hAnsi="Times New Roman" w:cs="Times New Roman"/>
          <w:sz w:val="24"/>
          <w:szCs w:val="24"/>
        </w:rPr>
        <w:t xml:space="preserve"> podijeliti u </w:t>
      </w:r>
      <w:r w:rsidR="00A12F52">
        <w:rPr>
          <w:rFonts w:ascii="Times New Roman" w:hAnsi="Times New Roman" w:cs="Times New Roman"/>
          <w:sz w:val="24"/>
          <w:szCs w:val="24"/>
        </w:rPr>
        <w:t>t</w:t>
      </w:r>
      <w:r w:rsidRPr="00F71E3B">
        <w:rPr>
          <w:rFonts w:ascii="Times New Roman" w:hAnsi="Times New Roman" w:cs="Times New Roman"/>
          <w:sz w:val="24"/>
          <w:szCs w:val="24"/>
        </w:rPr>
        <w:t>ri skupine:</w:t>
      </w:r>
    </w:p>
    <w:p w14:paraId="087C2937" w14:textId="664D489C" w:rsidR="00F71E3B" w:rsidRPr="00F71E3B" w:rsidRDefault="00F71E3B" w:rsidP="00BD4933">
      <w:pPr>
        <w:numPr>
          <w:ilvl w:val="0"/>
          <w:numId w:val="5"/>
        </w:numPr>
        <w:spacing w:after="0" w:line="240" w:lineRule="auto"/>
        <w:jc w:val="both"/>
        <w:rPr>
          <w:rFonts w:ascii="Times New Roman" w:hAnsi="Times New Roman" w:cs="Times New Roman"/>
          <w:sz w:val="24"/>
          <w:szCs w:val="24"/>
        </w:rPr>
      </w:pPr>
      <w:r w:rsidRPr="00F71E3B">
        <w:rPr>
          <w:rFonts w:ascii="Times New Roman" w:hAnsi="Times New Roman" w:cs="Times New Roman"/>
          <w:sz w:val="24"/>
          <w:szCs w:val="24"/>
        </w:rPr>
        <w:t>pranje novca pove</w:t>
      </w:r>
      <w:r w:rsidR="00A12F52">
        <w:rPr>
          <w:rFonts w:ascii="Times New Roman" w:hAnsi="Times New Roman" w:cs="Times New Roman"/>
          <w:sz w:val="24"/>
          <w:szCs w:val="24"/>
        </w:rPr>
        <w:t>zano s prijevarama</w:t>
      </w:r>
    </w:p>
    <w:p w14:paraId="1E45D243" w14:textId="5AC3ADCD" w:rsidR="00F71E3B" w:rsidRPr="00F71E3B" w:rsidRDefault="00F71E3B" w:rsidP="00BD4933">
      <w:pPr>
        <w:numPr>
          <w:ilvl w:val="0"/>
          <w:numId w:val="5"/>
        </w:numPr>
        <w:spacing w:after="0" w:line="240" w:lineRule="auto"/>
        <w:jc w:val="both"/>
        <w:rPr>
          <w:rFonts w:ascii="Times New Roman" w:hAnsi="Times New Roman" w:cs="Times New Roman"/>
          <w:sz w:val="24"/>
          <w:szCs w:val="24"/>
        </w:rPr>
      </w:pPr>
      <w:r w:rsidRPr="00F71E3B">
        <w:rPr>
          <w:rFonts w:ascii="Times New Roman" w:hAnsi="Times New Roman" w:cs="Times New Roman"/>
          <w:sz w:val="24"/>
          <w:szCs w:val="24"/>
        </w:rPr>
        <w:t>pranje novca povezano s koruptivnim kaznenim djelima i kazne</w:t>
      </w:r>
      <w:r w:rsidR="00A12F52">
        <w:rPr>
          <w:rFonts w:ascii="Times New Roman" w:hAnsi="Times New Roman" w:cs="Times New Roman"/>
          <w:sz w:val="24"/>
          <w:szCs w:val="24"/>
        </w:rPr>
        <w:t>nim djelima protiv gospodarstva</w:t>
      </w:r>
    </w:p>
    <w:p w14:paraId="77A01F6A" w14:textId="23C20BA8" w:rsidR="00F71E3B" w:rsidRPr="00F71E3B" w:rsidRDefault="00F71E3B" w:rsidP="00BD4933">
      <w:pPr>
        <w:numPr>
          <w:ilvl w:val="0"/>
          <w:numId w:val="5"/>
        </w:numPr>
        <w:spacing w:after="0" w:line="240" w:lineRule="auto"/>
        <w:jc w:val="both"/>
        <w:rPr>
          <w:rFonts w:ascii="Times New Roman" w:hAnsi="Times New Roman" w:cs="Times New Roman"/>
          <w:sz w:val="24"/>
          <w:szCs w:val="24"/>
        </w:rPr>
      </w:pPr>
      <w:r w:rsidRPr="00F71E3B">
        <w:rPr>
          <w:rFonts w:ascii="Times New Roman" w:hAnsi="Times New Roman" w:cs="Times New Roman"/>
          <w:sz w:val="24"/>
          <w:szCs w:val="24"/>
        </w:rPr>
        <w:t>pranje n</w:t>
      </w:r>
      <w:r w:rsidR="00A12F52">
        <w:rPr>
          <w:rFonts w:ascii="Times New Roman" w:hAnsi="Times New Roman" w:cs="Times New Roman"/>
          <w:sz w:val="24"/>
          <w:szCs w:val="24"/>
        </w:rPr>
        <w:t>ovca povezano s poreznom utajom.</w:t>
      </w:r>
    </w:p>
    <w:p w14:paraId="54E225DC" w14:textId="77777777" w:rsidR="00F71E3B" w:rsidRDefault="00F71E3B" w:rsidP="00F71E3B">
      <w:pPr>
        <w:spacing w:after="0" w:line="240" w:lineRule="auto"/>
        <w:jc w:val="both"/>
        <w:rPr>
          <w:rFonts w:ascii="Times New Roman" w:hAnsi="Times New Roman" w:cs="Times New Roman"/>
          <w:sz w:val="24"/>
          <w:szCs w:val="24"/>
          <w:u w:val="single"/>
        </w:rPr>
      </w:pPr>
    </w:p>
    <w:p w14:paraId="02D3489C" w14:textId="77777777" w:rsidR="00F71E3B" w:rsidRPr="00F71E3B" w:rsidRDefault="00F71E3B" w:rsidP="00F71E3B">
      <w:pPr>
        <w:spacing w:after="0" w:line="240" w:lineRule="auto"/>
        <w:jc w:val="both"/>
        <w:rPr>
          <w:rFonts w:ascii="Times New Roman" w:hAnsi="Times New Roman" w:cs="Times New Roman"/>
          <w:sz w:val="24"/>
          <w:szCs w:val="24"/>
          <w:u w:val="single"/>
        </w:rPr>
      </w:pPr>
      <w:r w:rsidRPr="00F71E3B">
        <w:rPr>
          <w:rFonts w:ascii="Times New Roman" w:hAnsi="Times New Roman" w:cs="Times New Roman"/>
          <w:sz w:val="24"/>
          <w:szCs w:val="24"/>
          <w:u w:val="single"/>
        </w:rPr>
        <w:t>Prijevare</w:t>
      </w:r>
    </w:p>
    <w:p w14:paraId="7E953A6C" w14:textId="51DA2C2A" w:rsidR="00F71E3B" w:rsidRPr="00F71E3B" w:rsidRDefault="00F71E3B" w:rsidP="00F71E3B">
      <w:pPr>
        <w:spacing w:after="0" w:line="240" w:lineRule="auto"/>
        <w:jc w:val="both"/>
        <w:rPr>
          <w:rFonts w:ascii="Times New Roman" w:hAnsi="Times New Roman" w:cs="Times New Roman"/>
          <w:sz w:val="24"/>
          <w:szCs w:val="24"/>
        </w:rPr>
      </w:pPr>
      <w:r w:rsidRPr="00F71E3B">
        <w:rPr>
          <w:rFonts w:ascii="Times New Roman" w:hAnsi="Times New Roman" w:cs="Times New Roman"/>
          <w:sz w:val="24"/>
          <w:szCs w:val="24"/>
        </w:rPr>
        <w:t xml:space="preserve">Najučestalija predikatna kaznena djela u kaznenim predmetima pranja novca su računalna prijevara i prijevara. </w:t>
      </w:r>
      <w:r w:rsidR="00A12F52">
        <w:rPr>
          <w:rFonts w:ascii="Times New Roman" w:hAnsi="Times New Roman" w:cs="Times New Roman"/>
          <w:sz w:val="24"/>
          <w:szCs w:val="24"/>
        </w:rPr>
        <w:t>U</w:t>
      </w:r>
      <w:r w:rsidRPr="00F71E3B">
        <w:rPr>
          <w:rFonts w:ascii="Times New Roman" w:hAnsi="Times New Roman" w:cs="Times New Roman"/>
          <w:sz w:val="24"/>
          <w:szCs w:val="24"/>
        </w:rPr>
        <w:t xml:space="preserve">kupno 14 fizičkih i 1 pravna osoba procesuirani su za pranje novca povezano s navedenim predikatnim kaznenim djelima. Ukupna protuvrijednost uspješno otkrivene i privremeno odnosno trajno oduzete nezakonite imovinske koristi iznosi cca 5,6 milijuna eura. Najučestaliji pojavni oblici u ovim kaznenim predmetima su transferi u ili iz inozemstva sredstava koja su bila predmet prijevarnih postupanja, kao i gotovinsko podizanje nezakonito stečenih sredstava. </w:t>
      </w:r>
    </w:p>
    <w:p w14:paraId="3DEF3274" w14:textId="77777777" w:rsidR="00F71E3B" w:rsidRPr="00F71E3B" w:rsidRDefault="00F71E3B" w:rsidP="00F71E3B">
      <w:pPr>
        <w:spacing w:after="0" w:line="240" w:lineRule="auto"/>
        <w:jc w:val="both"/>
        <w:rPr>
          <w:rFonts w:ascii="Times New Roman" w:hAnsi="Times New Roman" w:cs="Times New Roman"/>
          <w:sz w:val="24"/>
          <w:szCs w:val="24"/>
        </w:rPr>
      </w:pPr>
    </w:p>
    <w:p w14:paraId="1C6F683B" w14:textId="77777777" w:rsidR="00F71E3B" w:rsidRPr="00F71E3B" w:rsidRDefault="00F71E3B" w:rsidP="00F71E3B">
      <w:pPr>
        <w:spacing w:after="0" w:line="240" w:lineRule="auto"/>
        <w:jc w:val="both"/>
        <w:rPr>
          <w:rFonts w:ascii="Times New Roman" w:hAnsi="Times New Roman" w:cs="Times New Roman"/>
          <w:sz w:val="24"/>
          <w:szCs w:val="24"/>
          <w:u w:val="single"/>
        </w:rPr>
      </w:pPr>
      <w:r w:rsidRPr="00F71E3B">
        <w:rPr>
          <w:rFonts w:ascii="Times New Roman" w:hAnsi="Times New Roman" w:cs="Times New Roman"/>
          <w:sz w:val="24"/>
          <w:szCs w:val="24"/>
          <w:u w:val="single"/>
        </w:rPr>
        <w:t>Koruptivna kaznena djela i kaznena djela protiv gospodarstva</w:t>
      </w:r>
    </w:p>
    <w:p w14:paraId="78FE5BF9" w14:textId="77777777" w:rsidR="00F71E3B" w:rsidRPr="00F71E3B" w:rsidRDefault="00F71E3B" w:rsidP="00F71E3B">
      <w:pPr>
        <w:spacing w:after="0" w:line="240" w:lineRule="auto"/>
        <w:jc w:val="both"/>
        <w:rPr>
          <w:rFonts w:ascii="Times New Roman" w:hAnsi="Times New Roman" w:cs="Times New Roman"/>
          <w:sz w:val="24"/>
          <w:szCs w:val="24"/>
        </w:rPr>
      </w:pPr>
      <w:r w:rsidRPr="00F71E3B">
        <w:rPr>
          <w:rFonts w:ascii="Times New Roman" w:hAnsi="Times New Roman" w:cs="Times New Roman"/>
          <w:sz w:val="24"/>
          <w:szCs w:val="24"/>
        </w:rPr>
        <w:lastRenderedPageBreak/>
        <w:t>Kazneni progon pranja novca povezan je s prikrivanjem i posjedovanjem sredstava stečenih kaznenim djelima primanje mita i zlouporaba u gospodarskom poslovanju. Iako je broj procesuiranih osoba manji (ukupno 10 fizičkih osoba) nego kod pranja novca povezanog s prijevarnim radnjama, ovu skupinu kaznenih postupaka za pranje novca karakteriziraju izrazito visoki iznosi uspješno otkrivene i privremeno oduzete nezakonite imovinske koristi različitih oblika (novčana sredstva, nekretnine, vrijednosni papiri i poslovni udjeli) u ukupnoj protuvrijednosti od cca 110 milijuna eura.</w:t>
      </w:r>
    </w:p>
    <w:p w14:paraId="511B56AB" w14:textId="77777777" w:rsidR="00F71E3B" w:rsidRPr="00F71E3B" w:rsidRDefault="00F71E3B" w:rsidP="00F71E3B">
      <w:pPr>
        <w:spacing w:after="0" w:line="240" w:lineRule="auto"/>
        <w:jc w:val="both"/>
        <w:rPr>
          <w:rFonts w:ascii="Times New Roman" w:hAnsi="Times New Roman" w:cs="Times New Roman"/>
          <w:sz w:val="24"/>
          <w:szCs w:val="24"/>
          <w:u w:val="single"/>
        </w:rPr>
      </w:pPr>
    </w:p>
    <w:p w14:paraId="20D8B7AA" w14:textId="77777777" w:rsidR="00F71E3B" w:rsidRPr="00F71E3B" w:rsidRDefault="00F71E3B" w:rsidP="00F71E3B">
      <w:pPr>
        <w:spacing w:after="0" w:line="240" w:lineRule="auto"/>
        <w:jc w:val="both"/>
        <w:rPr>
          <w:rFonts w:ascii="Times New Roman" w:hAnsi="Times New Roman" w:cs="Times New Roman"/>
          <w:sz w:val="24"/>
          <w:szCs w:val="24"/>
          <w:u w:val="single"/>
        </w:rPr>
      </w:pPr>
      <w:r w:rsidRPr="00F71E3B">
        <w:rPr>
          <w:rFonts w:ascii="Times New Roman" w:hAnsi="Times New Roman" w:cs="Times New Roman"/>
          <w:sz w:val="24"/>
          <w:szCs w:val="24"/>
          <w:u w:val="single"/>
        </w:rPr>
        <w:t>Porezna utaja</w:t>
      </w:r>
    </w:p>
    <w:p w14:paraId="350AAA8F" w14:textId="77777777" w:rsidR="00F71E3B" w:rsidRPr="00F71E3B" w:rsidRDefault="00F71E3B" w:rsidP="00F71E3B">
      <w:pPr>
        <w:spacing w:after="0" w:line="240" w:lineRule="auto"/>
        <w:jc w:val="both"/>
        <w:rPr>
          <w:rFonts w:ascii="Times New Roman" w:hAnsi="Times New Roman" w:cs="Times New Roman"/>
          <w:sz w:val="24"/>
          <w:szCs w:val="24"/>
        </w:rPr>
      </w:pPr>
      <w:r w:rsidRPr="00F71E3B">
        <w:rPr>
          <w:rFonts w:ascii="Times New Roman" w:hAnsi="Times New Roman" w:cs="Times New Roman"/>
          <w:sz w:val="24"/>
          <w:szCs w:val="24"/>
        </w:rPr>
        <w:t>Iako potpada pod kaznena djela protiv gospodarstva, porezna utaja kao predikatno kazneno djelo pranju novca izdvojena je u zasebnu skupinu zbog toga što predstavlja kazneno djelo koje ulazi u skupinu kaznenih djela s najvišom prijetnjom za pranje novca. Kazneno djelo pranja novca povezano s poreznom utajom uvijek je procesuirano u kaznenim predmetima u kojima je procesuiran veliki broj počinitelja, a nezakonita imovinska korist je znatna. Tako je i u analiziranim predmetima koji se odnose na kaznene postupke pranja novca protiv 7 fizičkih i 1 pravne osobe privremeno oduzeta imovinska korist u ukupnoj protuvrijednosti od 5,4 milijuna eura. Najučestaliji pojavni oblici u ovim kaznenim predmetima su gotovinsko podizanje nezakonito stečenih sredstava i pokušaj prikrivanja nezakonitih sredstava stjecanjem nekretnina.</w:t>
      </w:r>
    </w:p>
    <w:p w14:paraId="753DF375" w14:textId="77777777" w:rsidR="00F71E3B" w:rsidRPr="00F71E3B" w:rsidRDefault="00F71E3B" w:rsidP="00F71E3B">
      <w:pPr>
        <w:spacing w:after="0" w:line="240" w:lineRule="auto"/>
        <w:jc w:val="both"/>
        <w:rPr>
          <w:rFonts w:ascii="Times New Roman" w:hAnsi="Times New Roman" w:cs="Times New Roman"/>
          <w:sz w:val="24"/>
          <w:szCs w:val="24"/>
        </w:rPr>
      </w:pPr>
    </w:p>
    <w:p w14:paraId="64B1C298" w14:textId="4E28F934" w:rsidR="00F71E3B" w:rsidRPr="00F71E3B" w:rsidRDefault="00F71E3B" w:rsidP="00F71E3B">
      <w:pPr>
        <w:spacing w:after="0" w:line="240" w:lineRule="auto"/>
        <w:jc w:val="both"/>
        <w:rPr>
          <w:rFonts w:ascii="Times New Roman" w:hAnsi="Times New Roman" w:cs="Times New Roman"/>
          <w:sz w:val="24"/>
          <w:szCs w:val="24"/>
          <w:u w:val="single"/>
        </w:rPr>
      </w:pPr>
      <w:r w:rsidRPr="00F71E3B">
        <w:rPr>
          <w:rFonts w:ascii="Times New Roman" w:hAnsi="Times New Roman" w:cs="Times New Roman"/>
          <w:sz w:val="24"/>
          <w:szCs w:val="24"/>
          <w:u w:val="single"/>
        </w:rPr>
        <w:t xml:space="preserve">Sektori zlouporabljeni za pranje novca </w:t>
      </w:r>
    </w:p>
    <w:p w14:paraId="12831B10" w14:textId="77777777" w:rsidR="00F71E3B" w:rsidRPr="00F71E3B" w:rsidRDefault="00F71E3B" w:rsidP="00F71E3B">
      <w:pPr>
        <w:spacing w:after="0" w:line="240" w:lineRule="auto"/>
        <w:jc w:val="both"/>
        <w:rPr>
          <w:rFonts w:ascii="Times New Roman" w:hAnsi="Times New Roman" w:cs="Times New Roman"/>
          <w:sz w:val="24"/>
          <w:szCs w:val="24"/>
        </w:rPr>
      </w:pPr>
      <w:r w:rsidRPr="00F71E3B">
        <w:rPr>
          <w:rFonts w:ascii="Times New Roman" w:hAnsi="Times New Roman" w:cs="Times New Roman"/>
          <w:sz w:val="24"/>
          <w:szCs w:val="24"/>
        </w:rPr>
        <w:t>Osnovna obilježja kaznenog djela pranja novca su radnje ulaganja, pretvaranja, prijenosa ili zamjene s ciljem prikrivanja ili lažnog prikazivanja imovinske koristi ostvarene kaznenim djelom. Preventivni dio sustava sprječavanja pranja novca nalaže obveznicima iz financijskog i nefinancijskog sektora provoditi mjere s ciljem sprječavanja pranja novca u područjima njihove djelatnosti (bankarski sektor, tržište kapitala, tržište nekretnina, prijenos novca, virtualne valute, igre na sreću i drugi).</w:t>
      </w:r>
    </w:p>
    <w:p w14:paraId="4AB1E01F" w14:textId="77777777" w:rsidR="00F71E3B" w:rsidRPr="00F71E3B" w:rsidRDefault="00F71E3B" w:rsidP="00F71E3B">
      <w:pPr>
        <w:spacing w:after="0" w:line="240" w:lineRule="auto"/>
        <w:jc w:val="both"/>
        <w:rPr>
          <w:rFonts w:ascii="Times New Roman" w:hAnsi="Times New Roman" w:cs="Times New Roman"/>
          <w:sz w:val="24"/>
          <w:szCs w:val="24"/>
        </w:rPr>
      </w:pPr>
    </w:p>
    <w:p w14:paraId="24EFDEA7" w14:textId="453D501F" w:rsidR="00F71E3B" w:rsidRPr="00F71E3B" w:rsidRDefault="00F71E3B" w:rsidP="00F71E3B">
      <w:pPr>
        <w:spacing w:after="0" w:line="240" w:lineRule="auto"/>
        <w:jc w:val="both"/>
        <w:rPr>
          <w:rFonts w:ascii="Times New Roman" w:hAnsi="Times New Roman" w:cs="Times New Roman"/>
          <w:sz w:val="24"/>
          <w:szCs w:val="24"/>
        </w:rPr>
      </w:pPr>
      <w:r w:rsidRPr="00F71E3B">
        <w:rPr>
          <w:rFonts w:ascii="Times New Roman" w:hAnsi="Times New Roman" w:cs="Times New Roman"/>
          <w:sz w:val="24"/>
          <w:szCs w:val="24"/>
        </w:rPr>
        <w:t>Analiza kaznenih predmeta pranja novca u razdoblju od 1.1.2022. do 31.12.2022. po sektorima koji su najčešće zlouporabljeni za prikrivanje ili lažno prikazivanje imovinske koristi ostvarene kaznenim djelom:</w:t>
      </w:r>
    </w:p>
    <w:p w14:paraId="213D7AE5" w14:textId="538D810B" w:rsidR="00F71E3B" w:rsidRPr="00F71E3B" w:rsidRDefault="00F71E3B" w:rsidP="00BD4933">
      <w:pPr>
        <w:numPr>
          <w:ilvl w:val="0"/>
          <w:numId w:val="5"/>
        </w:numPr>
        <w:spacing w:after="0" w:line="240" w:lineRule="auto"/>
        <w:jc w:val="both"/>
        <w:rPr>
          <w:rFonts w:ascii="Times New Roman" w:hAnsi="Times New Roman" w:cs="Times New Roman"/>
          <w:sz w:val="24"/>
          <w:szCs w:val="24"/>
        </w:rPr>
      </w:pPr>
      <w:r w:rsidRPr="00F71E3B">
        <w:rPr>
          <w:rFonts w:ascii="Times New Roman" w:hAnsi="Times New Roman" w:cs="Times New Roman"/>
          <w:sz w:val="24"/>
          <w:szCs w:val="24"/>
        </w:rPr>
        <w:t>bankarski sektor – pojavljuje se kod ukupno 19 fizičkih i 2 pravne osobe. Zastupljena su sva gore navedena predikatna kaznena djela (prijevare, zlouporaba u gospodarskom poslovanju, primanje mita i utaja poreza). U konkretnim predmetima obveznici (banke) su uspješno provodili preventivne mjere (obavijest o sumnjivim transakcijama, postupanje po nalozima Ureda) što je dovelo do otkrivanja i kasnijeg procesuiranja pranja novca i privremenog oduzimanja imovinske ko</w:t>
      </w:r>
      <w:r w:rsidR="00E205F1">
        <w:rPr>
          <w:rFonts w:ascii="Times New Roman" w:hAnsi="Times New Roman" w:cs="Times New Roman"/>
          <w:sz w:val="24"/>
          <w:szCs w:val="24"/>
        </w:rPr>
        <w:t>risti ostvarene kaznenim djelom</w:t>
      </w:r>
    </w:p>
    <w:p w14:paraId="4EA06EF1" w14:textId="77777777" w:rsidR="00F71E3B" w:rsidRPr="00F71E3B" w:rsidRDefault="00F71E3B" w:rsidP="00BD4933">
      <w:pPr>
        <w:numPr>
          <w:ilvl w:val="0"/>
          <w:numId w:val="5"/>
        </w:numPr>
        <w:spacing w:after="0" w:line="240" w:lineRule="auto"/>
        <w:jc w:val="both"/>
        <w:rPr>
          <w:rFonts w:ascii="Times New Roman" w:hAnsi="Times New Roman" w:cs="Times New Roman"/>
          <w:sz w:val="24"/>
          <w:szCs w:val="24"/>
        </w:rPr>
      </w:pPr>
      <w:r w:rsidRPr="00F71E3B">
        <w:rPr>
          <w:rFonts w:ascii="Times New Roman" w:hAnsi="Times New Roman" w:cs="Times New Roman"/>
          <w:sz w:val="24"/>
          <w:szCs w:val="24"/>
        </w:rPr>
        <w:t>sektor nekretnina – pojavljuje se kod ukupno 7 fizičkih osoba. Okrivljenici su pokušali stjecanjem nekretnina prikriti imovinsku korist ostvarenu utajom poreza, koruptivnim kaznenim djelima i prijevarom počinjenom u sastavu zločinačkog udruženja (slučaj FOREX).</w:t>
      </w:r>
    </w:p>
    <w:p w14:paraId="7BCD05E3" w14:textId="77777777" w:rsidR="00F71E3B" w:rsidRPr="00F71E3B" w:rsidRDefault="00F71E3B" w:rsidP="00F71E3B">
      <w:pPr>
        <w:spacing w:after="0" w:line="240" w:lineRule="auto"/>
        <w:jc w:val="both"/>
        <w:rPr>
          <w:rFonts w:ascii="Times New Roman" w:hAnsi="Times New Roman" w:cs="Times New Roman"/>
          <w:sz w:val="24"/>
          <w:szCs w:val="24"/>
        </w:rPr>
      </w:pPr>
    </w:p>
    <w:p w14:paraId="344CF131" w14:textId="3FFF3709" w:rsidR="00F71E3B" w:rsidRPr="00F71E3B" w:rsidRDefault="00F71E3B" w:rsidP="00F10A03">
      <w:pPr>
        <w:spacing w:after="0" w:line="240" w:lineRule="auto"/>
        <w:jc w:val="both"/>
        <w:rPr>
          <w:rFonts w:ascii="Times New Roman" w:hAnsi="Times New Roman" w:cs="Times New Roman"/>
          <w:sz w:val="24"/>
          <w:szCs w:val="24"/>
          <w:lang w:val="en-GB"/>
        </w:rPr>
      </w:pPr>
      <w:r w:rsidRPr="00F71E3B">
        <w:rPr>
          <w:rFonts w:ascii="Times New Roman" w:hAnsi="Times New Roman" w:cs="Times New Roman"/>
          <w:sz w:val="24"/>
          <w:szCs w:val="24"/>
          <w:u w:val="single"/>
        </w:rPr>
        <w:t>Pranje novca počinjeno u sastavu zločinačkog udruženja</w:t>
      </w:r>
      <w:r w:rsidRPr="00F71E3B">
        <w:rPr>
          <w:rFonts w:ascii="Times New Roman" w:hAnsi="Times New Roman" w:cs="Times New Roman"/>
          <w:sz w:val="24"/>
          <w:szCs w:val="24"/>
        </w:rPr>
        <w:t xml:space="preserve"> procesuirano je u 4 kaznena predmeta kojima su obuhvaćeni kazneni progoni pranja novca pro</w:t>
      </w:r>
      <w:r w:rsidR="00A12F52">
        <w:rPr>
          <w:rFonts w:ascii="Times New Roman" w:hAnsi="Times New Roman" w:cs="Times New Roman"/>
          <w:sz w:val="24"/>
          <w:szCs w:val="24"/>
        </w:rPr>
        <w:t>tiv 8 fizičkih i 1 pravne osobe u kojima je o</w:t>
      </w:r>
      <w:r w:rsidRPr="00F71E3B">
        <w:rPr>
          <w:rFonts w:ascii="Times New Roman" w:hAnsi="Times New Roman" w:cs="Times New Roman"/>
          <w:sz w:val="24"/>
          <w:szCs w:val="24"/>
        </w:rPr>
        <w:t>vlašteni tužitelj USKOK. Predmeti pranja novca počinjeni u sastavu zločinačkog udruženja ističu se po izuzetno visokim iznosima privremeno i trajno oduzete nezakonite imovinske koristi. Predikatna kaznena djela u predmetima pranja novca počinjenog u sastavu zločinačke organizacije su bila utaja poreza (3 predmeta), zlouporaba povjerenja u gospodarskom poslovanju s elementima korupcije (1 predmet), prijevara (1 predmet).</w:t>
      </w:r>
      <w:r>
        <w:rPr>
          <w:rFonts w:ascii="Times New Roman" w:hAnsi="Times New Roman" w:cs="Times New Roman"/>
          <w:sz w:val="24"/>
          <w:szCs w:val="24"/>
          <w:lang w:val="en-GB"/>
        </w:rPr>
        <w:br w:type="page"/>
      </w:r>
    </w:p>
    <w:p w14:paraId="06CDC0E4" w14:textId="19EDEFBD" w:rsidR="004665E0" w:rsidRPr="00374E80" w:rsidRDefault="004665E0" w:rsidP="00374E80">
      <w:pPr>
        <w:pStyle w:val="Naslov2"/>
      </w:pPr>
      <w:bookmarkStart w:id="19" w:name="_Toc153353424"/>
      <w:r w:rsidRPr="00374E80">
        <w:lastRenderedPageBreak/>
        <w:t>STRATEGIJSKE ANALIZE</w:t>
      </w:r>
      <w:bookmarkEnd w:id="18"/>
      <w:bookmarkEnd w:id="19"/>
    </w:p>
    <w:p w14:paraId="193CB67E" w14:textId="77777777" w:rsidR="00E15E4B" w:rsidRPr="00E15E4B" w:rsidRDefault="00E15E4B" w:rsidP="00E15E4B">
      <w:pPr>
        <w:tabs>
          <w:tab w:val="center" w:pos="4536"/>
          <w:tab w:val="right" w:pos="9072"/>
        </w:tabs>
        <w:spacing w:after="0" w:line="240" w:lineRule="auto"/>
        <w:jc w:val="both"/>
        <w:rPr>
          <w:rFonts w:ascii="Times New Roman" w:eastAsia="Calibri" w:hAnsi="Times New Roman" w:cs="Times New Roman"/>
          <w:bCs/>
          <w:sz w:val="24"/>
          <w:szCs w:val="24"/>
        </w:rPr>
      </w:pPr>
    </w:p>
    <w:p w14:paraId="7CB24DFD" w14:textId="77777777" w:rsidR="00863EF0" w:rsidRPr="004665E0" w:rsidRDefault="00863EF0" w:rsidP="00863EF0">
      <w:pPr>
        <w:tabs>
          <w:tab w:val="center" w:pos="4536"/>
          <w:tab w:val="right" w:pos="9072"/>
        </w:tabs>
        <w:spacing w:after="0" w:line="240" w:lineRule="auto"/>
        <w:jc w:val="both"/>
        <w:rPr>
          <w:rFonts w:ascii="Times New Roman" w:eastAsia="Calibri" w:hAnsi="Times New Roman" w:cs="Times New Roman"/>
          <w:bCs/>
          <w:sz w:val="24"/>
          <w:szCs w:val="24"/>
        </w:rPr>
      </w:pPr>
      <w:r w:rsidRPr="004665E0">
        <w:rPr>
          <w:rFonts w:ascii="Times New Roman" w:eastAsia="Calibri" w:hAnsi="Times New Roman" w:cs="Times New Roman"/>
          <w:bCs/>
          <w:sz w:val="24"/>
          <w:szCs w:val="24"/>
        </w:rPr>
        <w:t>Ured pored operativne analitike radi i strategijske analize dostupnih informacija, a što je međunarodni standard sukladno Preporukama FATF (Preporuka 29).</w:t>
      </w:r>
    </w:p>
    <w:p w14:paraId="5F66D16E" w14:textId="77777777" w:rsidR="00863EF0" w:rsidRPr="004665E0" w:rsidRDefault="00863EF0" w:rsidP="00863EF0">
      <w:pPr>
        <w:tabs>
          <w:tab w:val="center" w:pos="720"/>
          <w:tab w:val="right" w:pos="9072"/>
        </w:tabs>
        <w:spacing w:after="0" w:line="240" w:lineRule="auto"/>
        <w:jc w:val="both"/>
        <w:rPr>
          <w:rFonts w:ascii="Times New Roman" w:eastAsia="Calibri" w:hAnsi="Times New Roman" w:cs="Times New Roman"/>
          <w:bCs/>
          <w:sz w:val="24"/>
          <w:szCs w:val="24"/>
        </w:rPr>
      </w:pPr>
    </w:p>
    <w:p w14:paraId="067D3FCF" w14:textId="77777777" w:rsidR="00863EF0" w:rsidRPr="004665E0" w:rsidRDefault="00863EF0" w:rsidP="00863EF0">
      <w:pPr>
        <w:tabs>
          <w:tab w:val="center" w:pos="720"/>
          <w:tab w:val="right" w:pos="9072"/>
        </w:tabs>
        <w:spacing w:after="0" w:line="240" w:lineRule="auto"/>
        <w:jc w:val="both"/>
        <w:rPr>
          <w:rFonts w:ascii="Times New Roman" w:eastAsia="Calibri" w:hAnsi="Times New Roman" w:cs="Times New Roman"/>
          <w:bCs/>
          <w:sz w:val="24"/>
          <w:szCs w:val="24"/>
        </w:rPr>
      </w:pPr>
      <w:r w:rsidRPr="004665E0">
        <w:rPr>
          <w:rFonts w:ascii="Times New Roman" w:eastAsia="Calibri" w:hAnsi="Times New Roman" w:cs="Times New Roman"/>
          <w:bCs/>
          <w:sz w:val="24"/>
          <w:szCs w:val="24"/>
        </w:rPr>
        <w:t>Strategijske analize primarno uključuju analize zaprimljenih obavijesti o sumnjivim i gotovinskim transakcijama te slučajeva sa sumnjom na pranje novca i financiranje terorizma koje Ured prosljeđuje nadležnim državnim tijelima na daljnje postupanje i procesuiranje. Temeljem takvih analiza izrađuju se pisana izvješća (proizvodi) koja daju pregled podataka i informacija s ciljem prepoznavanja i praćenja pojavnih oblika pranja novca i financiranja terorizma, tzv. tipologija i trendova pranja novca i financiranja terorizma. Korisnici izvješća (proizvoda) strategijskih analiza definirani su kao unutarnji i vanjski. Unutarnji korisnik je Ured , a vanjski korisnici su obveznici provedbe Zakona (banke i dr.), nadzorna tijela i tijela kaznenog progona u Republici Hrvatskoj kao ključni korisnici.</w:t>
      </w:r>
    </w:p>
    <w:p w14:paraId="0E058952" w14:textId="77777777" w:rsidR="00863EF0" w:rsidRPr="004665E0" w:rsidRDefault="00863EF0" w:rsidP="00863EF0">
      <w:pPr>
        <w:tabs>
          <w:tab w:val="center" w:pos="720"/>
          <w:tab w:val="right" w:pos="9072"/>
        </w:tabs>
        <w:spacing w:after="0" w:line="0" w:lineRule="atLeast"/>
        <w:jc w:val="both"/>
        <w:rPr>
          <w:rFonts w:ascii="Times New Roman" w:eastAsia="Calibri" w:hAnsi="Times New Roman" w:cs="Times New Roman"/>
          <w:bCs/>
          <w:sz w:val="24"/>
          <w:szCs w:val="24"/>
        </w:rPr>
      </w:pPr>
    </w:p>
    <w:p w14:paraId="0571CD35" w14:textId="1E2CA713" w:rsidR="00863EF0" w:rsidRPr="004665E0" w:rsidRDefault="00863EF0" w:rsidP="00863EF0">
      <w:pPr>
        <w:tabs>
          <w:tab w:val="center" w:pos="720"/>
          <w:tab w:val="right" w:pos="9072"/>
        </w:tabs>
        <w:spacing w:after="0" w:line="0" w:lineRule="atLeast"/>
        <w:jc w:val="both"/>
        <w:rPr>
          <w:rFonts w:ascii="Times New Roman" w:eastAsia="Calibri" w:hAnsi="Times New Roman" w:cs="Times New Roman"/>
          <w:bCs/>
          <w:sz w:val="24"/>
          <w:szCs w:val="24"/>
        </w:rPr>
      </w:pPr>
      <w:r w:rsidRPr="004665E0">
        <w:rPr>
          <w:rFonts w:ascii="Times New Roman" w:eastAsia="Calibri" w:hAnsi="Times New Roman" w:cs="Times New Roman"/>
          <w:bCs/>
          <w:sz w:val="24"/>
          <w:szCs w:val="24"/>
        </w:rPr>
        <w:tab/>
        <w:t xml:space="preserve">Osnovna zadaća strategijskih analiza je izrada što kvalitetnijih izvješća (proizvoda) kako bi ključni dionici u sustavu za sprječavanje i otkrivanje pranja novca i financiranja terorizma (zakonski obveznici – Ured – nadzorna tijela – tijela progona) dobili bolji uvid u pojavne oblike pranja novca i financiranja terorizma (tipologije i trendovi pranja novca i financiranja terorizma, trendovi u prijavljivanju sumnjivih transakcija), u svrhu što učinkovitijeg sustava sprječavanja i otkrivanja pranja novca i financiranja terorizma u RH. </w:t>
      </w:r>
    </w:p>
    <w:p w14:paraId="79DA297D" w14:textId="77777777" w:rsidR="00863EF0" w:rsidRPr="004665E0" w:rsidRDefault="00863EF0" w:rsidP="00863EF0">
      <w:pPr>
        <w:tabs>
          <w:tab w:val="center" w:pos="720"/>
          <w:tab w:val="right" w:pos="9072"/>
        </w:tabs>
        <w:spacing w:after="0" w:line="0" w:lineRule="atLeast"/>
        <w:jc w:val="both"/>
        <w:rPr>
          <w:rFonts w:ascii="Times New Roman" w:eastAsia="Calibri" w:hAnsi="Times New Roman" w:cs="Times New Roman"/>
          <w:bCs/>
          <w:sz w:val="24"/>
          <w:szCs w:val="24"/>
        </w:rPr>
      </w:pPr>
    </w:p>
    <w:p w14:paraId="4176AC4D" w14:textId="77777777" w:rsidR="00863EF0" w:rsidRPr="00E22115" w:rsidRDefault="00863EF0" w:rsidP="00863EF0">
      <w:pPr>
        <w:tabs>
          <w:tab w:val="center" w:pos="720"/>
          <w:tab w:val="right" w:pos="9072"/>
        </w:tabs>
        <w:spacing w:after="0" w:line="240" w:lineRule="auto"/>
        <w:jc w:val="both"/>
        <w:rPr>
          <w:rFonts w:ascii="Times New Roman" w:eastAsia="Calibri" w:hAnsi="Times New Roman" w:cs="Times New Roman"/>
          <w:b/>
          <w:sz w:val="24"/>
          <w:szCs w:val="24"/>
        </w:rPr>
      </w:pPr>
      <w:r w:rsidRPr="00E22115">
        <w:rPr>
          <w:rFonts w:ascii="Times New Roman" w:eastAsia="Calibri" w:hAnsi="Times New Roman" w:cs="Times New Roman"/>
          <w:b/>
          <w:sz w:val="24"/>
          <w:szCs w:val="24"/>
        </w:rPr>
        <w:t xml:space="preserve">Izvješća (proizvodi) startegijskih analiza u 2022. </w:t>
      </w:r>
    </w:p>
    <w:p w14:paraId="00BCE49C" w14:textId="77777777" w:rsidR="00863EF0" w:rsidRDefault="00863EF0" w:rsidP="00863EF0">
      <w:pPr>
        <w:tabs>
          <w:tab w:val="center" w:pos="720"/>
          <w:tab w:val="right" w:pos="9072"/>
        </w:tabs>
        <w:spacing w:after="0" w:line="240" w:lineRule="auto"/>
        <w:jc w:val="both"/>
        <w:rPr>
          <w:rFonts w:ascii="Times New Roman" w:eastAsia="Calibri" w:hAnsi="Times New Roman" w:cs="Times New Roman"/>
          <w:sz w:val="24"/>
          <w:szCs w:val="24"/>
        </w:rPr>
      </w:pPr>
    </w:p>
    <w:p w14:paraId="699AF7F5" w14:textId="77777777" w:rsidR="00863EF0" w:rsidRDefault="00863EF0" w:rsidP="00863EF0">
      <w:pPr>
        <w:tabs>
          <w:tab w:val="center" w:pos="720"/>
          <w:tab w:val="right" w:pos="9072"/>
        </w:tabs>
        <w:spacing w:after="0" w:line="240" w:lineRule="auto"/>
        <w:jc w:val="both"/>
        <w:rPr>
          <w:rFonts w:ascii="Times New Roman" w:eastAsia="Calibri" w:hAnsi="Times New Roman" w:cs="Times New Roman"/>
          <w:bCs/>
          <w:sz w:val="24"/>
          <w:szCs w:val="24"/>
        </w:rPr>
      </w:pPr>
      <w:r w:rsidRPr="004665E0">
        <w:rPr>
          <w:rFonts w:ascii="Times New Roman" w:eastAsia="Calibri" w:hAnsi="Times New Roman" w:cs="Times New Roman"/>
          <w:sz w:val="24"/>
          <w:szCs w:val="24"/>
        </w:rPr>
        <w:t>U 202</w:t>
      </w:r>
      <w:r>
        <w:rPr>
          <w:rFonts w:ascii="Times New Roman" w:eastAsia="Calibri" w:hAnsi="Times New Roman" w:cs="Times New Roman"/>
          <w:sz w:val="24"/>
          <w:szCs w:val="24"/>
        </w:rPr>
        <w:t>2</w:t>
      </w:r>
      <w:r w:rsidRPr="004665E0">
        <w:rPr>
          <w:rFonts w:ascii="Times New Roman" w:eastAsia="Calibri" w:hAnsi="Times New Roman" w:cs="Times New Roman"/>
          <w:sz w:val="24"/>
          <w:szCs w:val="24"/>
        </w:rPr>
        <w:t>. izrađena su i distribuirana</w:t>
      </w:r>
      <w:r w:rsidRPr="004665E0">
        <w:rPr>
          <w:rFonts w:ascii="Times New Roman" w:eastAsia="Calibri" w:hAnsi="Times New Roman" w:cs="Times New Roman"/>
          <w:bCs/>
          <w:sz w:val="24"/>
          <w:szCs w:val="24"/>
        </w:rPr>
        <w:t xml:space="preserve"> </w:t>
      </w:r>
      <w:r w:rsidRPr="004665E0">
        <w:rPr>
          <w:rFonts w:ascii="Times New Roman" w:eastAsia="Calibri" w:hAnsi="Times New Roman" w:cs="Times New Roman"/>
          <w:sz w:val="24"/>
          <w:szCs w:val="24"/>
        </w:rPr>
        <w:t>slijedeća izvješća (proizvodi) strategijskih analiza</w:t>
      </w:r>
      <w:r w:rsidRPr="004665E0">
        <w:rPr>
          <w:rFonts w:ascii="Times New Roman" w:eastAsia="Calibri" w:hAnsi="Times New Roman" w:cs="Times New Roman"/>
          <w:bCs/>
          <w:sz w:val="24"/>
          <w:szCs w:val="24"/>
        </w:rPr>
        <w:t xml:space="preserve">, kako je prikazano u </w:t>
      </w:r>
      <w:r>
        <w:rPr>
          <w:rFonts w:ascii="Times New Roman" w:eastAsia="Calibri" w:hAnsi="Times New Roman" w:cs="Times New Roman"/>
          <w:bCs/>
          <w:sz w:val="24"/>
          <w:szCs w:val="24"/>
        </w:rPr>
        <w:t>T</w:t>
      </w:r>
      <w:r w:rsidRPr="004665E0">
        <w:rPr>
          <w:rFonts w:ascii="Times New Roman" w:eastAsia="Calibri" w:hAnsi="Times New Roman" w:cs="Times New Roman"/>
          <w:bCs/>
          <w:sz w:val="24"/>
          <w:szCs w:val="24"/>
        </w:rPr>
        <w:t>ablici 1</w:t>
      </w:r>
      <w:r>
        <w:rPr>
          <w:rFonts w:ascii="Times New Roman" w:eastAsia="Calibri" w:hAnsi="Times New Roman" w:cs="Times New Roman"/>
          <w:bCs/>
          <w:sz w:val="24"/>
          <w:szCs w:val="24"/>
        </w:rPr>
        <w:t>5</w:t>
      </w:r>
      <w:r w:rsidRPr="004665E0">
        <w:rPr>
          <w:rFonts w:ascii="Times New Roman" w:eastAsia="Calibri" w:hAnsi="Times New Roman" w:cs="Times New Roman"/>
          <w:bCs/>
          <w:sz w:val="24"/>
          <w:szCs w:val="24"/>
        </w:rPr>
        <w:t xml:space="preserve">. </w:t>
      </w:r>
    </w:p>
    <w:p w14:paraId="79275030" w14:textId="55D6E18B" w:rsidR="00863EF0" w:rsidRDefault="00863EF0" w:rsidP="00863EF0">
      <w:pPr>
        <w:tabs>
          <w:tab w:val="center" w:pos="720"/>
          <w:tab w:val="right" w:pos="9072"/>
        </w:tabs>
        <w:spacing w:after="0" w:line="240" w:lineRule="auto"/>
        <w:jc w:val="both"/>
        <w:rPr>
          <w:rFonts w:ascii="Times New Roman" w:eastAsia="Calibri" w:hAnsi="Times New Roman" w:cs="Times New Roman"/>
          <w:bCs/>
          <w:sz w:val="24"/>
          <w:szCs w:val="24"/>
        </w:rPr>
      </w:pPr>
    </w:p>
    <w:p w14:paraId="2F9766EA" w14:textId="4E6B8F78" w:rsidR="00863EF0" w:rsidRPr="004665E0" w:rsidRDefault="00863EF0" w:rsidP="00863EF0">
      <w:pPr>
        <w:tabs>
          <w:tab w:val="center" w:pos="720"/>
          <w:tab w:val="right" w:pos="9072"/>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Tablica 15.</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590C5"/>
        <w:tblLayout w:type="fixed"/>
        <w:tblLook w:val="01E0" w:firstRow="1" w:lastRow="1" w:firstColumn="1" w:lastColumn="1" w:noHBand="0" w:noVBand="0"/>
      </w:tblPr>
      <w:tblGrid>
        <w:gridCol w:w="3006"/>
        <w:gridCol w:w="850"/>
        <w:gridCol w:w="851"/>
        <w:gridCol w:w="4252"/>
      </w:tblGrid>
      <w:tr w:rsidR="00863EF0" w:rsidRPr="00375117" w14:paraId="6743263A" w14:textId="77777777" w:rsidTr="00863EF0">
        <w:trPr>
          <w:trHeight w:hRule="exact" w:val="1080"/>
        </w:trPr>
        <w:tc>
          <w:tcPr>
            <w:tcW w:w="3006" w:type="dxa"/>
            <w:vMerge w:val="restart"/>
            <w:shd w:val="clear" w:color="auto" w:fill="DEEAF6"/>
            <w:vAlign w:val="center"/>
          </w:tcPr>
          <w:p w14:paraId="743C331A" w14:textId="77777777" w:rsidR="00863EF0" w:rsidRPr="00375117" w:rsidRDefault="00863EF0" w:rsidP="00863EF0">
            <w:pPr>
              <w:spacing w:after="0" w:line="240" w:lineRule="auto"/>
              <w:jc w:val="center"/>
              <w:rPr>
                <w:rFonts w:ascii="Times New Roman" w:eastAsia="Times New Roman" w:hAnsi="Times New Roman" w:cs="Times New Roman"/>
                <w:sz w:val="20"/>
                <w:szCs w:val="20"/>
              </w:rPr>
            </w:pPr>
            <w:r w:rsidRPr="00375117">
              <w:rPr>
                <w:rFonts w:ascii="Times New Roman" w:eastAsia="Times New Roman" w:hAnsi="Times New Roman" w:cs="Times New Roman"/>
                <w:sz w:val="20"/>
                <w:szCs w:val="20"/>
              </w:rPr>
              <w:t xml:space="preserve">NAZIV IZVJEŠĆA </w:t>
            </w:r>
          </w:p>
        </w:tc>
        <w:tc>
          <w:tcPr>
            <w:tcW w:w="1701" w:type="dxa"/>
            <w:gridSpan w:val="2"/>
            <w:shd w:val="clear" w:color="auto" w:fill="DEEAF6"/>
            <w:vAlign w:val="center"/>
          </w:tcPr>
          <w:p w14:paraId="44815B6A" w14:textId="77777777" w:rsidR="00863EF0" w:rsidRPr="00375117" w:rsidRDefault="00863EF0" w:rsidP="00863EF0">
            <w:pPr>
              <w:spacing w:after="0" w:line="240" w:lineRule="auto"/>
              <w:jc w:val="center"/>
              <w:rPr>
                <w:rFonts w:ascii="Times New Roman" w:eastAsia="Times New Roman" w:hAnsi="Times New Roman" w:cs="Times New Roman"/>
                <w:sz w:val="20"/>
                <w:szCs w:val="20"/>
              </w:rPr>
            </w:pPr>
            <w:r w:rsidRPr="00375117">
              <w:rPr>
                <w:rFonts w:ascii="Times New Roman" w:eastAsia="Times New Roman" w:hAnsi="Times New Roman" w:cs="Times New Roman"/>
                <w:sz w:val="20"/>
                <w:szCs w:val="20"/>
              </w:rPr>
              <w:t>BROJ IZVJEŠĆA</w:t>
            </w:r>
          </w:p>
        </w:tc>
        <w:tc>
          <w:tcPr>
            <w:tcW w:w="4252" w:type="dxa"/>
            <w:vMerge w:val="restart"/>
            <w:shd w:val="clear" w:color="auto" w:fill="DEEAF6"/>
            <w:vAlign w:val="center"/>
          </w:tcPr>
          <w:p w14:paraId="319CCBCC" w14:textId="77777777" w:rsidR="00863EF0" w:rsidRPr="00375117" w:rsidRDefault="00863EF0" w:rsidP="00863EF0">
            <w:pPr>
              <w:spacing w:after="0" w:line="240" w:lineRule="auto"/>
              <w:jc w:val="center"/>
              <w:rPr>
                <w:rFonts w:ascii="Times New Roman" w:eastAsia="Times New Roman" w:hAnsi="Times New Roman" w:cs="Times New Roman"/>
                <w:sz w:val="20"/>
                <w:szCs w:val="20"/>
              </w:rPr>
            </w:pPr>
            <w:r w:rsidRPr="00375117">
              <w:rPr>
                <w:rFonts w:ascii="Times New Roman" w:eastAsia="Times New Roman" w:hAnsi="Times New Roman" w:cs="Times New Roman"/>
                <w:sz w:val="20"/>
                <w:szCs w:val="20"/>
              </w:rPr>
              <w:t>KORISNIK IZVJEŠĆA</w:t>
            </w:r>
          </w:p>
        </w:tc>
      </w:tr>
      <w:tr w:rsidR="00863EF0" w:rsidRPr="00375117" w14:paraId="5D14B4DD" w14:textId="77777777" w:rsidTr="002118EE">
        <w:trPr>
          <w:trHeight w:hRule="exact" w:val="237"/>
        </w:trPr>
        <w:tc>
          <w:tcPr>
            <w:tcW w:w="3006" w:type="dxa"/>
            <w:vMerge/>
            <w:shd w:val="clear" w:color="auto" w:fill="DEEAF6"/>
            <w:vAlign w:val="center"/>
          </w:tcPr>
          <w:p w14:paraId="161E6619" w14:textId="77777777" w:rsidR="00863EF0" w:rsidRPr="00375117" w:rsidRDefault="00863EF0" w:rsidP="00863EF0">
            <w:pPr>
              <w:spacing w:after="0" w:line="240" w:lineRule="auto"/>
              <w:jc w:val="center"/>
              <w:rPr>
                <w:rFonts w:ascii="Times New Roman" w:eastAsia="Times New Roman" w:hAnsi="Times New Roman" w:cs="Times New Roman"/>
                <w:sz w:val="20"/>
                <w:szCs w:val="20"/>
              </w:rPr>
            </w:pPr>
          </w:p>
        </w:tc>
        <w:tc>
          <w:tcPr>
            <w:tcW w:w="850" w:type="dxa"/>
            <w:shd w:val="clear" w:color="auto" w:fill="DEEAF6"/>
            <w:vAlign w:val="center"/>
          </w:tcPr>
          <w:p w14:paraId="273F9D8F" w14:textId="77777777" w:rsidR="00863EF0" w:rsidRPr="00375117" w:rsidRDefault="00863EF0" w:rsidP="00863E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w:t>
            </w:r>
          </w:p>
        </w:tc>
        <w:tc>
          <w:tcPr>
            <w:tcW w:w="851" w:type="dxa"/>
            <w:shd w:val="clear" w:color="auto" w:fill="DEEAF6" w:themeFill="accent1" w:themeFillTint="33"/>
            <w:vAlign w:val="center"/>
          </w:tcPr>
          <w:p w14:paraId="4E8C2D92" w14:textId="77777777" w:rsidR="00863EF0" w:rsidRPr="00375117" w:rsidRDefault="00863EF0" w:rsidP="00863E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4252" w:type="dxa"/>
            <w:vMerge/>
            <w:shd w:val="clear" w:color="auto" w:fill="DEEAF6"/>
            <w:vAlign w:val="center"/>
          </w:tcPr>
          <w:p w14:paraId="72BD23D6" w14:textId="77777777" w:rsidR="00863EF0" w:rsidRPr="00375117" w:rsidRDefault="00863EF0" w:rsidP="00863EF0">
            <w:pPr>
              <w:spacing w:after="0" w:line="240" w:lineRule="auto"/>
              <w:jc w:val="center"/>
              <w:rPr>
                <w:rFonts w:ascii="Times New Roman" w:eastAsia="Times New Roman" w:hAnsi="Times New Roman" w:cs="Times New Roman"/>
                <w:sz w:val="20"/>
                <w:szCs w:val="20"/>
              </w:rPr>
            </w:pPr>
          </w:p>
        </w:tc>
      </w:tr>
      <w:tr w:rsidR="00863EF0" w:rsidRPr="00375117" w14:paraId="6BCA3523" w14:textId="77777777" w:rsidTr="00863EF0">
        <w:trPr>
          <w:trHeight w:hRule="exact" w:val="1461"/>
        </w:trPr>
        <w:tc>
          <w:tcPr>
            <w:tcW w:w="3006" w:type="dxa"/>
            <w:shd w:val="clear" w:color="auto" w:fill="F2F2F2"/>
            <w:vAlign w:val="center"/>
          </w:tcPr>
          <w:p w14:paraId="7E6B6051" w14:textId="77777777" w:rsidR="00863EF0" w:rsidRPr="00375117" w:rsidRDefault="00863EF0" w:rsidP="00863EF0">
            <w:pPr>
              <w:spacing w:after="0" w:line="240" w:lineRule="auto"/>
              <w:rPr>
                <w:rFonts w:ascii="Times New Roman" w:eastAsia="Times New Roman" w:hAnsi="Times New Roman" w:cs="Times New Roman"/>
                <w:bCs/>
                <w:sz w:val="20"/>
                <w:szCs w:val="20"/>
              </w:rPr>
            </w:pPr>
            <w:r w:rsidRPr="00375117">
              <w:rPr>
                <w:rFonts w:ascii="Times New Roman" w:eastAsia="Times New Roman" w:hAnsi="Times New Roman" w:cs="Times New Roman"/>
                <w:bCs/>
                <w:sz w:val="20"/>
                <w:szCs w:val="20"/>
              </w:rPr>
              <w:t xml:space="preserve">Godišnje izvješće o zaprimljenim sumnjivim transakcijama </w:t>
            </w:r>
          </w:p>
        </w:tc>
        <w:tc>
          <w:tcPr>
            <w:tcW w:w="850" w:type="dxa"/>
            <w:shd w:val="clear" w:color="auto" w:fill="auto"/>
            <w:vAlign w:val="center"/>
          </w:tcPr>
          <w:p w14:paraId="785B020D" w14:textId="77777777" w:rsidR="00863EF0" w:rsidRPr="00375117" w:rsidRDefault="00863EF0" w:rsidP="00863EF0">
            <w:pPr>
              <w:spacing w:after="0" w:line="240" w:lineRule="auto"/>
              <w:jc w:val="center"/>
              <w:rPr>
                <w:rFonts w:ascii="Times New Roman" w:eastAsia="Times New Roman" w:hAnsi="Times New Roman" w:cs="Times New Roman"/>
                <w:bCs/>
                <w:sz w:val="20"/>
                <w:szCs w:val="20"/>
              </w:rPr>
            </w:pPr>
            <w:r w:rsidRPr="00375117">
              <w:rPr>
                <w:rFonts w:ascii="Times New Roman" w:eastAsia="Times New Roman" w:hAnsi="Times New Roman" w:cs="Times New Roman"/>
                <w:bCs/>
                <w:sz w:val="20"/>
                <w:szCs w:val="20"/>
              </w:rPr>
              <w:t>1</w:t>
            </w:r>
          </w:p>
        </w:tc>
        <w:tc>
          <w:tcPr>
            <w:tcW w:w="851" w:type="dxa"/>
            <w:shd w:val="clear" w:color="auto" w:fill="auto"/>
            <w:vAlign w:val="center"/>
          </w:tcPr>
          <w:p w14:paraId="566AAC06" w14:textId="77777777" w:rsidR="00863EF0" w:rsidRPr="00375117" w:rsidRDefault="00863EF0" w:rsidP="00863EF0">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p>
        </w:tc>
        <w:tc>
          <w:tcPr>
            <w:tcW w:w="4252" w:type="dxa"/>
            <w:shd w:val="clear" w:color="auto" w:fill="auto"/>
            <w:vAlign w:val="center"/>
          </w:tcPr>
          <w:p w14:paraId="55565365" w14:textId="77777777" w:rsidR="00863EF0" w:rsidRPr="00375117" w:rsidRDefault="00863EF0" w:rsidP="00863EF0">
            <w:pPr>
              <w:spacing w:after="0" w:line="240" w:lineRule="auto"/>
              <w:jc w:val="both"/>
              <w:rPr>
                <w:rFonts w:ascii="Times New Roman" w:eastAsia="Times New Roman" w:hAnsi="Times New Roman" w:cs="Times New Roman"/>
                <w:bCs/>
                <w:sz w:val="20"/>
                <w:szCs w:val="20"/>
              </w:rPr>
            </w:pPr>
            <w:r w:rsidRPr="00375117">
              <w:rPr>
                <w:rFonts w:ascii="Times New Roman" w:eastAsia="Calibri" w:hAnsi="Times New Roman" w:cs="Times New Roman"/>
                <w:sz w:val="20"/>
                <w:szCs w:val="20"/>
              </w:rPr>
              <w:t>Izvješće je dostavljeno predstojniku Ureda, te voditeljima službi i odjela. Svrha takvog izvješćivanja je upoznavanje s trendovima u obavještavanju Ureda o sumnjivim transakcijama od strane obveznika.</w:t>
            </w:r>
          </w:p>
        </w:tc>
      </w:tr>
      <w:tr w:rsidR="00863EF0" w:rsidRPr="00375117" w14:paraId="41327521" w14:textId="77777777" w:rsidTr="00863EF0">
        <w:trPr>
          <w:trHeight w:val="1263"/>
        </w:trPr>
        <w:tc>
          <w:tcPr>
            <w:tcW w:w="3006" w:type="dxa"/>
            <w:shd w:val="clear" w:color="auto" w:fill="F2F2F2"/>
            <w:vAlign w:val="center"/>
          </w:tcPr>
          <w:p w14:paraId="47656BB0" w14:textId="77777777" w:rsidR="00863EF0" w:rsidRPr="00375117" w:rsidRDefault="00863EF0" w:rsidP="00863EF0">
            <w:pPr>
              <w:spacing w:after="0" w:line="240" w:lineRule="auto"/>
              <w:rPr>
                <w:rFonts w:ascii="Times New Roman" w:eastAsia="Times New Roman" w:hAnsi="Times New Roman" w:cs="Times New Roman"/>
                <w:bCs/>
                <w:sz w:val="20"/>
                <w:szCs w:val="20"/>
              </w:rPr>
            </w:pPr>
            <w:r w:rsidRPr="00375117">
              <w:rPr>
                <w:rFonts w:ascii="Times New Roman" w:eastAsia="Times New Roman" w:hAnsi="Times New Roman" w:cs="Times New Roman"/>
                <w:bCs/>
                <w:sz w:val="20"/>
                <w:szCs w:val="20"/>
              </w:rPr>
              <w:t xml:space="preserve">Godišnje izvješće o zaprimljenim gotovinskim transakcijama </w:t>
            </w:r>
          </w:p>
        </w:tc>
        <w:tc>
          <w:tcPr>
            <w:tcW w:w="850" w:type="dxa"/>
            <w:shd w:val="clear" w:color="auto" w:fill="auto"/>
            <w:vAlign w:val="center"/>
          </w:tcPr>
          <w:p w14:paraId="18E10F0A" w14:textId="77777777" w:rsidR="00863EF0" w:rsidRPr="00375117" w:rsidRDefault="00863EF0" w:rsidP="00863EF0">
            <w:pPr>
              <w:spacing w:after="0" w:line="240" w:lineRule="auto"/>
              <w:jc w:val="center"/>
              <w:rPr>
                <w:rFonts w:ascii="Times New Roman" w:eastAsia="Times New Roman" w:hAnsi="Times New Roman" w:cs="Times New Roman"/>
                <w:bCs/>
                <w:sz w:val="20"/>
                <w:szCs w:val="20"/>
              </w:rPr>
            </w:pPr>
            <w:r w:rsidRPr="00375117">
              <w:rPr>
                <w:rFonts w:ascii="Times New Roman" w:eastAsia="Times New Roman" w:hAnsi="Times New Roman" w:cs="Times New Roman"/>
                <w:bCs/>
                <w:sz w:val="20"/>
                <w:szCs w:val="20"/>
              </w:rPr>
              <w:t>1</w:t>
            </w:r>
          </w:p>
        </w:tc>
        <w:tc>
          <w:tcPr>
            <w:tcW w:w="851" w:type="dxa"/>
            <w:shd w:val="clear" w:color="auto" w:fill="auto"/>
            <w:vAlign w:val="center"/>
          </w:tcPr>
          <w:p w14:paraId="0D0AACC8" w14:textId="77777777" w:rsidR="00863EF0" w:rsidRPr="00375117" w:rsidRDefault="00863EF0" w:rsidP="00863EF0">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p>
        </w:tc>
        <w:tc>
          <w:tcPr>
            <w:tcW w:w="4252" w:type="dxa"/>
            <w:shd w:val="clear" w:color="auto" w:fill="auto"/>
            <w:vAlign w:val="center"/>
          </w:tcPr>
          <w:p w14:paraId="6D932655" w14:textId="77777777" w:rsidR="00863EF0" w:rsidRPr="00375117" w:rsidRDefault="00863EF0" w:rsidP="00863EF0">
            <w:pPr>
              <w:spacing w:after="0" w:line="240" w:lineRule="auto"/>
              <w:jc w:val="both"/>
              <w:rPr>
                <w:rFonts w:ascii="Times New Roman" w:eastAsia="Times New Roman" w:hAnsi="Times New Roman" w:cs="Times New Roman"/>
                <w:bCs/>
                <w:sz w:val="20"/>
                <w:szCs w:val="20"/>
              </w:rPr>
            </w:pPr>
            <w:r w:rsidRPr="00375117">
              <w:rPr>
                <w:rFonts w:ascii="Times New Roman" w:eastAsia="Calibri" w:hAnsi="Times New Roman" w:cs="Times New Roman"/>
                <w:sz w:val="20"/>
                <w:szCs w:val="20"/>
              </w:rPr>
              <w:t>Izvješće je dostavljeno predstojniku Ureda, te voditeljima službi i odjela. Svrha takvog izvještavanja je upoznavanje s trendovima u obavještavanju Ureda o gotovinskim transakcijama od strane obveznika.</w:t>
            </w:r>
          </w:p>
        </w:tc>
      </w:tr>
      <w:tr w:rsidR="00863EF0" w:rsidRPr="00375117" w14:paraId="64C73E98" w14:textId="77777777" w:rsidTr="00863EF0">
        <w:trPr>
          <w:trHeight w:val="1125"/>
        </w:trPr>
        <w:tc>
          <w:tcPr>
            <w:tcW w:w="3006" w:type="dxa"/>
            <w:shd w:val="clear" w:color="auto" w:fill="F2F2F2"/>
            <w:vAlign w:val="center"/>
          </w:tcPr>
          <w:p w14:paraId="47C43C58" w14:textId="77777777" w:rsidR="00863EF0" w:rsidRPr="00375117" w:rsidRDefault="00863EF0" w:rsidP="00863EF0">
            <w:pPr>
              <w:spacing w:after="0" w:line="240" w:lineRule="auto"/>
              <w:rPr>
                <w:rFonts w:ascii="Times New Roman" w:eastAsia="Times New Roman" w:hAnsi="Times New Roman" w:cs="Times New Roman"/>
                <w:bCs/>
                <w:sz w:val="20"/>
                <w:szCs w:val="20"/>
              </w:rPr>
            </w:pPr>
            <w:r w:rsidRPr="00375117">
              <w:rPr>
                <w:rFonts w:ascii="Times New Roman" w:eastAsia="Calibri" w:hAnsi="Times New Roman" w:cs="Times New Roman"/>
                <w:sz w:val="20"/>
                <w:szCs w:val="20"/>
              </w:rPr>
              <w:t xml:space="preserve">Povratna informacija o zaprimljenim i analiziranim obavijestima o sumnjivim transakcijama </w:t>
            </w:r>
          </w:p>
        </w:tc>
        <w:tc>
          <w:tcPr>
            <w:tcW w:w="850" w:type="dxa"/>
            <w:shd w:val="clear" w:color="auto" w:fill="auto"/>
            <w:vAlign w:val="center"/>
          </w:tcPr>
          <w:p w14:paraId="4E4BCF23" w14:textId="77777777" w:rsidR="00863EF0" w:rsidRPr="00375117" w:rsidRDefault="00863EF0" w:rsidP="00863EF0">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19</w:t>
            </w:r>
          </w:p>
        </w:tc>
        <w:tc>
          <w:tcPr>
            <w:tcW w:w="851" w:type="dxa"/>
            <w:shd w:val="clear" w:color="auto" w:fill="auto"/>
            <w:vAlign w:val="center"/>
          </w:tcPr>
          <w:p w14:paraId="4D566361" w14:textId="77777777" w:rsidR="00863EF0" w:rsidRPr="00375117" w:rsidRDefault="00863EF0" w:rsidP="00863EF0">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13</w:t>
            </w:r>
          </w:p>
        </w:tc>
        <w:tc>
          <w:tcPr>
            <w:tcW w:w="4252" w:type="dxa"/>
            <w:shd w:val="clear" w:color="auto" w:fill="auto"/>
            <w:vAlign w:val="center"/>
          </w:tcPr>
          <w:p w14:paraId="062F6F23" w14:textId="77777777" w:rsidR="00863EF0" w:rsidRPr="00375117" w:rsidRDefault="00863EF0" w:rsidP="00863EF0">
            <w:pPr>
              <w:spacing w:after="0" w:line="240" w:lineRule="auto"/>
              <w:jc w:val="both"/>
              <w:rPr>
                <w:rFonts w:ascii="Times New Roman" w:eastAsia="Times New Roman" w:hAnsi="Times New Roman" w:cs="Times New Roman"/>
                <w:bCs/>
                <w:sz w:val="20"/>
                <w:szCs w:val="20"/>
              </w:rPr>
            </w:pPr>
            <w:r w:rsidRPr="00375117">
              <w:rPr>
                <w:rFonts w:ascii="Times New Roman" w:eastAsia="Calibri" w:hAnsi="Times New Roman" w:cs="Times New Roman"/>
                <w:sz w:val="20"/>
                <w:szCs w:val="20"/>
              </w:rPr>
              <w:t>Pojedinačne povratne informacije bankama o zaprimljenim obavijestima o sumnjivim transakcijama i rezultatima postupanja Ureda po istima.</w:t>
            </w:r>
          </w:p>
        </w:tc>
      </w:tr>
      <w:tr w:rsidR="00863EF0" w:rsidRPr="00375117" w14:paraId="15CDFF9B" w14:textId="77777777" w:rsidTr="002118EE">
        <w:trPr>
          <w:trHeight w:val="841"/>
        </w:trPr>
        <w:tc>
          <w:tcPr>
            <w:tcW w:w="3006" w:type="dxa"/>
            <w:shd w:val="clear" w:color="auto" w:fill="F2F2F2"/>
            <w:vAlign w:val="center"/>
          </w:tcPr>
          <w:p w14:paraId="4AB945DA" w14:textId="77777777" w:rsidR="00863EF0" w:rsidRPr="00375117" w:rsidRDefault="00863EF0" w:rsidP="00863EF0">
            <w:pPr>
              <w:spacing w:after="0" w:line="240" w:lineRule="auto"/>
              <w:rPr>
                <w:rFonts w:ascii="Times New Roman" w:eastAsia="Calibri" w:hAnsi="Times New Roman" w:cs="Times New Roman"/>
                <w:sz w:val="20"/>
                <w:szCs w:val="20"/>
              </w:rPr>
            </w:pPr>
            <w:r w:rsidRPr="00375117">
              <w:rPr>
                <w:rFonts w:ascii="Times New Roman" w:eastAsia="Calibri" w:hAnsi="Times New Roman" w:cs="Times New Roman"/>
                <w:sz w:val="20"/>
                <w:szCs w:val="20"/>
              </w:rPr>
              <w:t>Statistika zap</w:t>
            </w:r>
            <w:r>
              <w:rPr>
                <w:rFonts w:ascii="Times New Roman" w:eastAsia="Calibri" w:hAnsi="Times New Roman" w:cs="Times New Roman"/>
                <w:sz w:val="20"/>
                <w:szCs w:val="20"/>
              </w:rPr>
              <w:t>rimljenih sumnjivih transakcija</w:t>
            </w:r>
          </w:p>
        </w:tc>
        <w:tc>
          <w:tcPr>
            <w:tcW w:w="850" w:type="dxa"/>
            <w:shd w:val="clear" w:color="auto" w:fill="auto"/>
            <w:vAlign w:val="center"/>
          </w:tcPr>
          <w:p w14:paraId="40B9A6F8" w14:textId="27875DF5" w:rsidR="00863EF0" w:rsidRPr="00375117" w:rsidRDefault="002118EE" w:rsidP="00863EF0">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w:t>
            </w:r>
          </w:p>
        </w:tc>
        <w:tc>
          <w:tcPr>
            <w:tcW w:w="851" w:type="dxa"/>
            <w:shd w:val="clear" w:color="auto" w:fill="auto"/>
            <w:vAlign w:val="center"/>
          </w:tcPr>
          <w:p w14:paraId="2D474BB7" w14:textId="77777777" w:rsidR="00863EF0" w:rsidRPr="00375117" w:rsidRDefault="00863EF0" w:rsidP="00863EF0">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p>
        </w:tc>
        <w:tc>
          <w:tcPr>
            <w:tcW w:w="4252" w:type="dxa"/>
            <w:shd w:val="clear" w:color="auto" w:fill="auto"/>
            <w:vAlign w:val="center"/>
          </w:tcPr>
          <w:p w14:paraId="23307A3B" w14:textId="77777777" w:rsidR="00863EF0" w:rsidRPr="00375117" w:rsidRDefault="00863EF0" w:rsidP="00863EF0">
            <w:pPr>
              <w:spacing w:after="0" w:line="240" w:lineRule="auto"/>
              <w:jc w:val="both"/>
              <w:rPr>
                <w:rFonts w:ascii="Times New Roman" w:eastAsia="Calibri" w:hAnsi="Times New Roman" w:cs="Times New Roman"/>
                <w:sz w:val="20"/>
                <w:szCs w:val="20"/>
              </w:rPr>
            </w:pPr>
            <w:r w:rsidRPr="00375117">
              <w:rPr>
                <w:rFonts w:ascii="Times New Roman" w:eastAsia="Calibri" w:hAnsi="Times New Roman" w:cs="Times New Roman"/>
                <w:sz w:val="20"/>
                <w:szCs w:val="20"/>
              </w:rPr>
              <w:t>Izvješće je dostavljeno HNB-u</w:t>
            </w:r>
          </w:p>
        </w:tc>
      </w:tr>
    </w:tbl>
    <w:p w14:paraId="40BF8831" w14:textId="77777777" w:rsidR="00863EF0" w:rsidRPr="00714497" w:rsidRDefault="00863EF0" w:rsidP="00863EF0">
      <w:pPr>
        <w:pStyle w:val="Naslov3"/>
      </w:pPr>
      <w:bookmarkStart w:id="20" w:name="_Toc152935393"/>
      <w:bookmarkStart w:id="21" w:name="_Toc153353425"/>
      <w:r>
        <w:lastRenderedPageBreak/>
        <w:t>3.1.</w:t>
      </w:r>
      <w:r>
        <w:tab/>
      </w:r>
      <w:r w:rsidRPr="00714497">
        <w:t>Obavijesti o sumnjivim transakcijama, sredstvima i osobama u 2022.</w:t>
      </w:r>
      <w:bookmarkEnd w:id="20"/>
      <w:bookmarkEnd w:id="21"/>
      <w:r w:rsidRPr="00714497">
        <w:t xml:space="preserve"> </w:t>
      </w:r>
    </w:p>
    <w:p w14:paraId="0ED8A209" w14:textId="77777777" w:rsidR="00863EF0" w:rsidRDefault="00863EF0" w:rsidP="00863EF0">
      <w:pPr>
        <w:spacing w:after="0" w:line="240" w:lineRule="auto"/>
        <w:jc w:val="both"/>
        <w:rPr>
          <w:rFonts w:ascii="Times New Roman" w:eastAsia="Times New Roman" w:hAnsi="Times New Roman" w:cs="Times New Roman"/>
          <w:sz w:val="24"/>
          <w:szCs w:val="24"/>
          <w:lang w:eastAsia="hr-HR"/>
        </w:rPr>
      </w:pPr>
    </w:p>
    <w:p w14:paraId="27CCEBC4" w14:textId="270BBB89" w:rsidR="00863EF0" w:rsidRPr="004665E0" w:rsidRDefault="00863EF0" w:rsidP="00863EF0">
      <w:pPr>
        <w:spacing w:after="0" w:line="0" w:lineRule="atLeast"/>
        <w:jc w:val="both"/>
        <w:rPr>
          <w:rFonts w:ascii="Times New Roman" w:eastAsia="Times New Roman" w:hAnsi="Times New Roman" w:cs="Times New Roman"/>
          <w:sz w:val="24"/>
          <w:szCs w:val="24"/>
          <w:lang w:eastAsia="hr-HR"/>
        </w:rPr>
      </w:pPr>
      <w:r w:rsidRPr="004665E0">
        <w:rPr>
          <w:rFonts w:ascii="Times New Roman" w:eastAsia="Times New Roman" w:hAnsi="Times New Roman" w:cs="Times New Roman"/>
          <w:sz w:val="24"/>
          <w:szCs w:val="24"/>
          <w:lang w:eastAsia="hr-HR"/>
        </w:rPr>
        <w:t xml:space="preserve">Strategijska analiza zaprimljenih obavijesti o sumnjivim transakcijama, sredstvima i osobama izvršena je temeljem podataka koje su zakonski obveznici (banke i drugi) dostavili Uredu putem Obrasca za obavještavanje Ureda za sprječavanje pranja novca o sumnjivim transakcijama, sredstvima i osobama (Obrazac UZSPN-O-59). Obrazac UZSPN-O-59 je sastavni dio </w:t>
      </w:r>
      <w:hyperlink r:id="rId18" w:history="1">
        <w:r w:rsidRPr="004665E0">
          <w:rPr>
            <w:rFonts w:ascii="Times New Roman" w:eastAsia="Times New Roman" w:hAnsi="Times New Roman" w:cs="Times New Roman"/>
            <w:sz w:val="24"/>
            <w:szCs w:val="24"/>
            <w:lang w:eastAsia="hr-HR"/>
          </w:rPr>
          <w:t>Pravilnika o obavještavanju Ureda za sprječavanje pranja novca o sumnjivim transakcijama, sredstvima i osobama („Narodne novine“ br. 1/19)</w:t>
        </w:r>
      </w:hyperlink>
      <w:r w:rsidRPr="004665E0">
        <w:rPr>
          <w:rFonts w:ascii="Times New Roman" w:eastAsia="Times New Roman" w:hAnsi="Times New Roman" w:cs="Times New Roman"/>
          <w:sz w:val="24"/>
          <w:szCs w:val="24"/>
          <w:lang w:eastAsia="hr-HR"/>
        </w:rPr>
        <w:t xml:space="preserve"> kojim se propisuje način i opseg dostavljanja podataka o sumnjivim transakcijama, sredstvima i osobama i dodatni podatci koje obveznici </w:t>
      </w:r>
      <w:r w:rsidR="00E205F1">
        <w:rPr>
          <w:rFonts w:ascii="Times New Roman" w:eastAsia="Times New Roman" w:hAnsi="Times New Roman" w:cs="Times New Roman"/>
          <w:sz w:val="24"/>
          <w:szCs w:val="24"/>
          <w:lang w:eastAsia="hr-HR"/>
        </w:rPr>
        <w:t>dostavljaju</w:t>
      </w:r>
      <w:r w:rsidRPr="004665E0">
        <w:rPr>
          <w:rFonts w:ascii="Times New Roman" w:eastAsia="Times New Roman" w:hAnsi="Times New Roman" w:cs="Times New Roman"/>
          <w:sz w:val="24"/>
          <w:szCs w:val="24"/>
          <w:lang w:eastAsia="hr-HR"/>
        </w:rPr>
        <w:t xml:space="preserve"> Uredu. Ovaj izvještaj prikazuje podatke o:</w:t>
      </w:r>
    </w:p>
    <w:p w14:paraId="7B7D9664" w14:textId="77777777" w:rsidR="00863EF0" w:rsidRPr="004665E0" w:rsidRDefault="00863EF0" w:rsidP="00863EF0">
      <w:pPr>
        <w:numPr>
          <w:ilvl w:val="0"/>
          <w:numId w:val="5"/>
        </w:numPr>
        <w:spacing w:after="0" w:line="240" w:lineRule="auto"/>
        <w:jc w:val="both"/>
        <w:rPr>
          <w:rFonts w:ascii="Times New Roman" w:eastAsia="Times New Roman" w:hAnsi="Times New Roman" w:cs="Times New Roman"/>
          <w:sz w:val="24"/>
          <w:szCs w:val="24"/>
          <w:lang w:eastAsia="hr-HR"/>
        </w:rPr>
      </w:pPr>
      <w:r w:rsidRPr="004665E0">
        <w:rPr>
          <w:rFonts w:ascii="Times New Roman" w:eastAsia="Times New Roman" w:hAnsi="Times New Roman" w:cs="Times New Roman"/>
          <w:sz w:val="24"/>
          <w:szCs w:val="24"/>
          <w:lang w:eastAsia="hr-HR"/>
        </w:rPr>
        <w:t>broju zaprimljenih obavijesti o sumnjivim transakcijama, sredstvima i osobama u razdoblju 201</w:t>
      </w:r>
      <w:r>
        <w:rPr>
          <w:rFonts w:ascii="Times New Roman" w:eastAsia="Times New Roman" w:hAnsi="Times New Roman" w:cs="Times New Roman"/>
          <w:sz w:val="24"/>
          <w:szCs w:val="24"/>
          <w:lang w:eastAsia="hr-HR"/>
        </w:rPr>
        <w:t>7</w:t>
      </w:r>
      <w:r w:rsidRPr="004665E0">
        <w:rPr>
          <w:rFonts w:ascii="Times New Roman" w:eastAsia="Times New Roman" w:hAnsi="Times New Roman" w:cs="Times New Roman"/>
          <w:sz w:val="24"/>
          <w:szCs w:val="24"/>
          <w:lang w:eastAsia="hr-HR"/>
        </w:rPr>
        <w:t>.-202</w:t>
      </w:r>
      <w:r>
        <w:rPr>
          <w:rFonts w:ascii="Times New Roman" w:eastAsia="Times New Roman" w:hAnsi="Times New Roman" w:cs="Times New Roman"/>
          <w:sz w:val="24"/>
          <w:szCs w:val="24"/>
          <w:lang w:eastAsia="hr-HR"/>
        </w:rPr>
        <w:t>2</w:t>
      </w:r>
      <w:r w:rsidRPr="004665E0">
        <w:rPr>
          <w:rFonts w:ascii="Times New Roman" w:eastAsia="Times New Roman" w:hAnsi="Times New Roman" w:cs="Times New Roman"/>
          <w:sz w:val="24"/>
          <w:szCs w:val="24"/>
          <w:lang w:eastAsia="hr-HR"/>
        </w:rPr>
        <w:t>.</w:t>
      </w:r>
    </w:p>
    <w:p w14:paraId="1BFF7284" w14:textId="554B4BD9" w:rsidR="00863EF0" w:rsidRPr="009641B8" w:rsidRDefault="00863EF0" w:rsidP="009641B8">
      <w:pPr>
        <w:numPr>
          <w:ilvl w:val="0"/>
          <w:numId w:val="5"/>
        </w:numPr>
        <w:spacing w:after="0" w:line="240" w:lineRule="auto"/>
        <w:jc w:val="both"/>
        <w:rPr>
          <w:rFonts w:ascii="Times New Roman" w:eastAsia="Times New Roman" w:hAnsi="Times New Roman" w:cs="Times New Roman"/>
          <w:sz w:val="24"/>
          <w:szCs w:val="24"/>
          <w:lang w:eastAsia="hr-HR"/>
        </w:rPr>
      </w:pPr>
      <w:r w:rsidRPr="004665E0">
        <w:rPr>
          <w:rFonts w:ascii="Times New Roman" w:eastAsia="Times New Roman" w:hAnsi="Times New Roman" w:cs="Times New Roman"/>
          <w:sz w:val="24"/>
          <w:szCs w:val="24"/>
          <w:lang w:eastAsia="hr-HR"/>
        </w:rPr>
        <w:t>broju zaprimljenih obavijesti o sumnjivim transakcijama, sredstvima i osobama u  202</w:t>
      </w:r>
      <w:r>
        <w:rPr>
          <w:rFonts w:ascii="Times New Roman" w:eastAsia="Times New Roman" w:hAnsi="Times New Roman" w:cs="Times New Roman"/>
          <w:sz w:val="24"/>
          <w:szCs w:val="24"/>
          <w:lang w:eastAsia="hr-HR"/>
        </w:rPr>
        <w:t>2</w:t>
      </w:r>
      <w:r w:rsidRPr="004665E0">
        <w:rPr>
          <w:rFonts w:ascii="Times New Roman" w:eastAsia="Times New Roman" w:hAnsi="Times New Roman" w:cs="Times New Roman"/>
          <w:sz w:val="24"/>
          <w:szCs w:val="24"/>
          <w:lang w:eastAsia="hr-HR"/>
        </w:rPr>
        <w:t>. po obveznicima</w:t>
      </w:r>
      <w:r w:rsidR="009641B8">
        <w:rPr>
          <w:rFonts w:ascii="Times New Roman" w:eastAsia="Times New Roman" w:hAnsi="Times New Roman" w:cs="Times New Roman"/>
          <w:sz w:val="24"/>
          <w:szCs w:val="24"/>
          <w:lang w:eastAsia="hr-HR"/>
        </w:rPr>
        <w:t>,</w:t>
      </w:r>
      <w:r w:rsidR="009641B8" w:rsidRPr="009641B8">
        <w:rPr>
          <w:rFonts w:ascii="Times New Roman" w:eastAsia="Times New Roman" w:hAnsi="Times New Roman" w:cs="Times New Roman"/>
          <w:sz w:val="24"/>
          <w:szCs w:val="24"/>
          <w:lang w:eastAsia="hr-HR"/>
        </w:rPr>
        <w:t xml:space="preserve"> </w:t>
      </w:r>
      <w:r w:rsidR="009641B8">
        <w:rPr>
          <w:rFonts w:ascii="Times New Roman" w:eastAsia="Times New Roman" w:hAnsi="Times New Roman" w:cs="Times New Roman"/>
          <w:sz w:val="24"/>
          <w:szCs w:val="24"/>
          <w:lang w:eastAsia="hr-HR"/>
        </w:rPr>
        <w:t xml:space="preserve">kao i usporedni podatci za 2021. </w:t>
      </w:r>
    </w:p>
    <w:p w14:paraId="31D8F2EB" w14:textId="17D97DB1" w:rsidR="00863EF0" w:rsidRPr="004665E0" w:rsidRDefault="00863EF0" w:rsidP="00863EF0">
      <w:pPr>
        <w:numPr>
          <w:ilvl w:val="0"/>
          <w:numId w:val="5"/>
        </w:numPr>
        <w:spacing w:after="0" w:line="240" w:lineRule="auto"/>
        <w:jc w:val="both"/>
        <w:rPr>
          <w:rFonts w:ascii="Times New Roman" w:eastAsia="Times New Roman" w:hAnsi="Times New Roman" w:cs="Times New Roman"/>
          <w:sz w:val="24"/>
          <w:szCs w:val="24"/>
          <w:lang w:eastAsia="hr-HR"/>
        </w:rPr>
      </w:pPr>
      <w:r w:rsidRPr="004665E0">
        <w:rPr>
          <w:rFonts w:ascii="Times New Roman" w:eastAsia="Times New Roman" w:hAnsi="Times New Roman" w:cs="Times New Roman"/>
          <w:sz w:val="24"/>
          <w:szCs w:val="24"/>
          <w:lang w:eastAsia="hr-HR"/>
        </w:rPr>
        <w:t>broju obavijesti o sumnjivim transakcija, sred</w:t>
      </w:r>
      <w:r>
        <w:rPr>
          <w:rFonts w:ascii="Times New Roman" w:eastAsia="Times New Roman" w:hAnsi="Times New Roman" w:cs="Times New Roman"/>
          <w:sz w:val="24"/>
          <w:szCs w:val="24"/>
          <w:lang w:eastAsia="hr-HR"/>
        </w:rPr>
        <w:t xml:space="preserve">stvima i osobama zaprimljenih u </w:t>
      </w:r>
      <w:r w:rsidRPr="004665E0">
        <w:rPr>
          <w:rFonts w:ascii="Times New Roman" w:eastAsia="Times New Roman" w:hAnsi="Times New Roman" w:cs="Times New Roman"/>
          <w:sz w:val="24"/>
          <w:szCs w:val="24"/>
          <w:lang w:eastAsia="hr-HR"/>
        </w:rPr>
        <w:t>202</w:t>
      </w:r>
      <w:r>
        <w:rPr>
          <w:rFonts w:ascii="Times New Roman" w:eastAsia="Times New Roman" w:hAnsi="Times New Roman" w:cs="Times New Roman"/>
          <w:sz w:val="24"/>
          <w:szCs w:val="24"/>
          <w:lang w:eastAsia="hr-HR"/>
        </w:rPr>
        <w:t>2</w:t>
      </w:r>
      <w:r w:rsidRPr="004665E0">
        <w:rPr>
          <w:rFonts w:ascii="Times New Roman" w:eastAsia="Times New Roman" w:hAnsi="Times New Roman" w:cs="Times New Roman"/>
          <w:sz w:val="24"/>
          <w:szCs w:val="24"/>
          <w:lang w:eastAsia="hr-HR"/>
        </w:rPr>
        <w:t>. od banaka prema opisu načina provođenja transakcije, svrsi (namjeni) transakcije te rezidentnosti osobe (stranke) na koju se obavijest odnosi</w:t>
      </w:r>
    </w:p>
    <w:p w14:paraId="14F2AD7E" w14:textId="6F0A8B98" w:rsidR="009641B8" w:rsidRPr="004665E0" w:rsidRDefault="00863EF0" w:rsidP="009641B8">
      <w:pPr>
        <w:numPr>
          <w:ilvl w:val="0"/>
          <w:numId w:val="5"/>
        </w:numPr>
        <w:spacing w:after="0" w:line="240" w:lineRule="auto"/>
        <w:jc w:val="both"/>
        <w:rPr>
          <w:rFonts w:ascii="Times New Roman" w:eastAsia="Times New Roman" w:hAnsi="Times New Roman" w:cs="Times New Roman"/>
          <w:sz w:val="24"/>
          <w:szCs w:val="24"/>
          <w:lang w:eastAsia="hr-HR"/>
        </w:rPr>
      </w:pPr>
      <w:r w:rsidRPr="004665E0">
        <w:rPr>
          <w:rFonts w:ascii="Times New Roman" w:eastAsia="Times New Roman" w:hAnsi="Times New Roman" w:cs="Times New Roman"/>
          <w:sz w:val="24"/>
          <w:szCs w:val="24"/>
          <w:lang w:eastAsia="hr-HR"/>
        </w:rPr>
        <w:t>indikatorima koja su obveznici najčešće koristili kod prepoznavanje sumnjivih transakcija, sredstava i osoba u 202</w:t>
      </w:r>
      <w:r>
        <w:rPr>
          <w:rFonts w:ascii="Times New Roman" w:eastAsia="Times New Roman" w:hAnsi="Times New Roman" w:cs="Times New Roman"/>
          <w:sz w:val="24"/>
          <w:szCs w:val="24"/>
          <w:lang w:eastAsia="hr-HR"/>
        </w:rPr>
        <w:t>2</w:t>
      </w:r>
      <w:r w:rsidRPr="004665E0">
        <w:rPr>
          <w:rFonts w:ascii="Times New Roman" w:eastAsia="Times New Roman" w:hAnsi="Times New Roman" w:cs="Times New Roman"/>
          <w:sz w:val="24"/>
          <w:szCs w:val="24"/>
          <w:lang w:eastAsia="hr-HR"/>
        </w:rPr>
        <w:t>.</w:t>
      </w:r>
      <w:r w:rsidR="009641B8">
        <w:rPr>
          <w:rFonts w:ascii="Times New Roman" w:eastAsia="Times New Roman" w:hAnsi="Times New Roman" w:cs="Times New Roman"/>
          <w:sz w:val="24"/>
          <w:szCs w:val="24"/>
          <w:lang w:eastAsia="hr-HR"/>
        </w:rPr>
        <w:t>,</w:t>
      </w:r>
      <w:r w:rsidR="009641B8" w:rsidRPr="009641B8">
        <w:rPr>
          <w:rFonts w:ascii="Times New Roman" w:eastAsia="Times New Roman" w:hAnsi="Times New Roman" w:cs="Times New Roman"/>
          <w:sz w:val="24"/>
          <w:szCs w:val="24"/>
          <w:lang w:eastAsia="hr-HR"/>
        </w:rPr>
        <w:t xml:space="preserve"> </w:t>
      </w:r>
      <w:r w:rsidR="009641B8">
        <w:rPr>
          <w:rFonts w:ascii="Times New Roman" w:eastAsia="Times New Roman" w:hAnsi="Times New Roman" w:cs="Times New Roman"/>
          <w:sz w:val="24"/>
          <w:szCs w:val="24"/>
          <w:lang w:eastAsia="hr-HR"/>
        </w:rPr>
        <w:t xml:space="preserve">kao i usporedni podatci za 2021. </w:t>
      </w:r>
    </w:p>
    <w:p w14:paraId="6AEBE75A" w14:textId="008AE369" w:rsidR="00863EF0" w:rsidRDefault="00863EF0" w:rsidP="006E0F92">
      <w:pPr>
        <w:spacing w:after="0" w:line="240" w:lineRule="auto"/>
        <w:ind w:left="720"/>
        <w:jc w:val="both"/>
        <w:rPr>
          <w:rFonts w:ascii="Times New Roman" w:eastAsia="Times New Roman" w:hAnsi="Times New Roman" w:cs="Times New Roman"/>
          <w:sz w:val="24"/>
          <w:szCs w:val="24"/>
          <w:lang w:eastAsia="hr-HR"/>
        </w:rPr>
      </w:pPr>
    </w:p>
    <w:p w14:paraId="77175A8F" w14:textId="77777777" w:rsidR="00863EF0" w:rsidRPr="004665E0" w:rsidRDefault="00863EF0" w:rsidP="00863EF0">
      <w:pPr>
        <w:spacing w:after="0" w:line="240" w:lineRule="auto"/>
        <w:jc w:val="both"/>
        <w:rPr>
          <w:rFonts w:ascii="Times New Roman" w:eastAsia="Times New Roman" w:hAnsi="Times New Roman" w:cs="Times New Roman"/>
          <w:sz w:val="24"/>
          <w:szCs w:val="24"/>
          <w:lang w:eastAsia="hr-HR"/>
        </w:rPr>
      </w:pPr>
    </w:p>
    <w:p w14:paraId="55FA0B52" w14:textId="77777777" w:rsidR="00863EF0" w:rsidRPr="002A6D88" w:rsidRDefault="00863EF0" w:rsidP="00863EF0">
      <w:pPr>
        <w:spacing w:after="0" w:line="240" w:lineRule="auto"/>
        <w:jc w:val="both"/>
        <w:rPr>
          <w:rFonts w:ascii="Times New Roman" w:hAnsi="Times New Roman" w:cs="Times New Roman"/>
          <w:b/>
          <w:sz w:val="24"/>
          <w:szCs w:val="24"/>
        </w:rPr>
      </w:pPr>
      <w:r w:rsidRPr="002A6D88">
        <w:rPr>
          <w:rFonts w:ascii="Times New Roman" w:hAnsi="Times New Roman" w:cs="Times New Roman"/>
          <w:b/>
          <w:sz w:val="24"/>
          <w:szCs w:val="24"/>
        </w:rPr>
        <w:t>Podatci o broju zaprimljenih obavijesti o sumnjivim transakcijama, sredstvima i osobama u razdoblju 2017.-2022.</w:t>
      </w:r>
    </w:p>
    <w:p w14:paraId="74912DDD" w14:textId="77777777" w:rsidR="00863EF0" w:rsidRPr="002A6D88" w:rsidRDefault="00863EF0" w:rsidP="00863EF0">
      <w:pPr>
        <w:spacing w:after="0" w:line="240" w:lineRule="auto"/>
        <w:jc w:val="both"/>
        <w:rPr>
          <w:rFonts w:ascii="Times New Roman" w:eastAsia="Times New Roman" w:hAnsi="Times New Roman" w:cs="Times New Roman"/>
          <w:b/>
          <w:sz w:val="24"/>
          <w:szCs w:val="24"/>
          <w:lang w:eastAsia="hr-HR"/>
        </w:rPr>
      </w:pPr>
    </w:p>
    <w:p w14:paraId="009978C4" w14:textId="6A75C13D" w:rsidR="00863EF0" w:rsidRPr="002A6D88" w:rsidRDefault="00863EF0" w:rsidP="00863EF0">
      <w:pPr>
        <w:spacing w:after="0" w:line="240" w:lineRule="auto"/>
        <w:ind w:right="-128"/>
        <w:jc w:val="both"/>
        <w:rPr>
          <w:rFonts w:ascii="Times New Roman" w:eastAsia="Calibri" w:hAnsi="Times New Roman" w:cs="Times New Roman"/>
          <w:sz w:val="24"/>
          <w:szCs w:val="24"/>
        </w:rPr>
      </w:pPr>
      <w:r w:rsidRPr="00375117">
        <w:rPr>
          <w:rFonts w:ascii="Times New Roman" w:eastAsia="Calibri" w:hAnsi="Times New Roman" w:cs="Times New Roman"/>
          <w:sz w:val="24"/>
          <w:szCs w:val="24"/>
        </w:rPr>
        <w:t xml:space="preserve">U  Grafikonu </w:t>
      </w:r>
      <w:r w:rsidR="008154A4">
        <w:rPr>
          <w:rFonts w:ascii="Times New Roman" w:eastAsia="Calibri" w:hAnsi="Times New Roman" w:cs="Times New Roman"/>
          <w:sz w:val="24"/>
          <w:szCs w:val="24"/>
        </w:rPr>
        <w:t>4</w:t>
      </w:r>
      <w:r w:rsidRPr="00375117">
        <w:rPr>
          <w:rFonts w:ascii="Times New Roman" w:eastAsia="Calibri" w:hAnsi="Times New Roman" w:cs="Times New Roman"/>
          <w:sz w:val="24"/>
          <w:szCs w:val="24"/>
        </w:rPr>
        <w:t>. prikazan</w:t>
      </w:r>
      <w:r w:rsidRPr="002A6D88">
        <w:rPr>
          <w:rFonts w:ascii="Times New Roman" w:eastAsia="Calibri" w:hAnsi="Times New Roman" w:cs="Times New Roman"/>
          <w:sz w:val="24"/>
          <w:szCs w:val="24"/>
        </w:rPr>
        <w:t xml:space="preserve"> je broj zaprimljenih obavijesti o sumnjivim transakcijama, sredstvima i osobama u razdoblju 2017. - 2022. pri čemu je za zadnje tri godine vidljiv trend značajnog povećanja broja zaprimljenih obavijesti.</w:t>
      </w:r>
    </w:p>
    <w:p w14:paraId="1ABAA5E3" w14:textId="77777777" w:rsidR="00863EF0" w:rsidRPr="002A6D88" w:rsidRDefault="00863EF0" w:rsidP="00863EF0">
      <w:pPr>
        <w:spacing w:after="0" w:line="240" w:lineRule="auto"/>
        <w:ind w:right="-128"/>
        <w:jc w:val="both"/>
        <w:rPr>
          <w:rFonts w:ascii="Times New Roman" w:eastAsia="Calibri" w:hAnsi="Times New Roman" w:cs="Times New Roman"/>
          <w:sz w:val="24"/>
          <w:szCs w:val="24"/>
        </w:rPr>
      </w:pPr>
    </w:p>
    <w:p w14:paraId="057AAF2A" w14:textId="77777777" w:rsidR="00863EF0" w:rsidRPr="004665E0" w:rsidRDefault="00863EF0" w:rsidP="00863EF0">
      <w:pPr>
        <w:jc w:val="center"/>
        <w:rPr>
          <w:noProof/>
          <w:lang w:eastAsia="hr-HR"/>
        </w:rPr>
      </w:pPr>
      <w:r>
        <w:rPr>
          <w:noProof/>
          <w:lang w:eastAsia="hr-HR"/>
        </w:rPr>
        <w:drawing>
          <wp:inline distT="0" distB="0" distL="0" distR="0" wp14:anchorId="4ACD9052" wp14:editId="64EF677C">
            <wp:extent cx="3857625" cy="1885950"/>
            <wp:effectExtent l="0" t="0" r="9525" b="0"/>
            <wp:docPr id="24" name="Grafikon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9E97FD" w14:textId="77777777" w:rsidR="00863EF0" w:rsidRDefault="00863EF0" w:rsidP="00863EF0">
      <w:pPr>
        <w:spacing w:after="0" w:line="240" w:lineRule="auto"/>
        <w:rPr>
          <w:rFonts w:ascii="Times New Roman" w:hAnsi="Times New Roman" w:cs="Times New Roman"/>
          <w:noProof/>
          <w:sz w:val="24"/>
          <w:szCs w:val="24"/>
          <w:lang w:eastAsia="hr-HR"/>
        </w:rPr>
      </w:pPr>
    </w:p>
    <w:p w14:paraId="3539B02C" w14:textId="77777777" w:rsidR="00863EF0" w:rsidRPr="001465AA" w:rsidRDefault="00863EF0" w:rsidP="00863EF0">
      <w:pPr>
        <w:spacing w:after="0" w:line="240" w:lineRule="auto"/>
        <w:rPr>
          <w:rFonts w:ascii="Times New Roman" w:hAnsi="Times New Roman" w:cs="Times New Roman"/>
          <w:noProof/>
          <w:sz w:val="24"/>
          <w:szCs w:val="24"/>
          <w:lang w:eastAsia="hr-HR"/>
        </w:rPr>
      </w:pPr>
    </w:p>
    <w:p w14:paraId="01284F52" w14:textId="4F84BDD9" w:rsidR="00863EF0" w:rsidRPr="004665E0" w:rsidRDefault="00863EF0" w:rsidP="00863EF0">
      <w:pPr>
        <w:jc w:val="both"/>
        <w:rPr>
          <w:rFonts w:ascii="Times New Roman" w:hAnsi="Times New Roman" w:cs="Times New Roman"/>
          <w:b/>
          <w:sz w:val="24"/>
          <w:szCs w:val="24"/>
          <w:lang w:eastAsia="hr-HR"/>
        </w:rPr>
      </w:pPr>
      <w:r w:rsidRPr="004665E0">
        <w:rPr>
          <w:rFonts w:ascii="Times New Roman" w:hAnsi="Times New Roman" w:cs="Times New Roman"/>
          <w:b/>
          <w:sz w:val="24"/>
          <w:szCs w:val="24"/>
        </w:rPr>
        <w:t>Podatci o broju zaprimljenih obavijesti o sumnjivim transakcijama, sredstvima i osobama u 202</w:t>
      </w:r>
      <w:r>
        <w:rPr>
          <w:rFonts w:ascii="Times New Roman" w:hAnsi="Times New Roman" w:cs="Times New Roman"/>
          <w:b/>
          <w:sz w:val="24"/>
          <w:szCs w:val="24"/>
        </w:rPr>
        <w:t>2</w:t>
      </w:r>
      <w:r w:rsidRPr="004665E0">
        <w:rPr>
          <w:rFonts w:ascii="Times New Roman" w:hAnsi="Times New Roman" w:cs="Times New Roman"/>
          <w:b/>
          <w:sz w:val="24"/>
          <w:szCs w:val="24"/>
        </w:rPr>
        <w:t>. po obveznicima</w:t>
      </w:r>
    </w:p>
    <w:p w14:paraId="443EF78D" w14:textId="448BCE1A" w:rsidR="00863EF0" w:rsidRPr="00176484" w:rsidRDefault="00863EF0" w:rsidP="00863EF0">
      <w:pPr>
        <w:spacing w:after="0" w:line="0" w:lineRule="atLeast"/>
        <w:jc w:val="both"/>
        <w:rPr>
          <w:rFonts w:ascii="Times New Roman" w:eastAsia="Times New Roman" w:hAnsi="Times New Roman" w:cs="Times New Roman"/>
          <w:sz w:val="24"/>
          <w:szCs w:val="24"/>
          <w:lang w:eastAsia="hr-HR"/>
        </w:rPr>
      </w:pPr>
      <w:r w:rsidRPr="004665E0">
        <w:rPr>
          <w:rFonts w:ascii="Times New Roman" w:eastAsia="Times New Roman" w:hAnsi="Times New Roman" w:cs="Times New Roman"/>
          <w:sz w:val="24"/>
          <w:szCs w:val="24"/>
          <w:lang w:eastAsia="hr-HR"/>
        </w:rPr>
        <w:t xml:space="preserve">U </w:t>
      </w:r>
      <w:r>
        <w:rPr>
          <w:rFonts w:ascii="Times New Roman" w:eastAsia="Times New Roman" w:hAnsi="Times New Roman" w:cs="Times New Roman"/>
          <w:sz w:val="24"/>
          <w:szCs w:val="24"/>
          <w:lang w:eastAsia="hr-HR"/>
        </w:rPr>
        <w:t>T</w:t>
      </w:r>
      <w:r w:rsidRPr="004665E0">
        <w:rPr>
          <w:rFonts w:ascii="Times New Roman" w:eastAsia="Times New Roman" w:hAnsi="Times New Roman" w:cs="Times New Roman"/>
          <w:sz w:val="24"/>
          <w:szCs w:val="24"/>
          <w:lang w:eastAsia="hr-HR"/>
        </w:rPr>
        <w:t>ablici 1</w:t>
      </w:r>
      <w:r>
        <w:rPr>
          <w:rFonts w:ascii="Times New Roman" w:eastAsia="Times New Roman" w:hAnsi="Times New Roman" w:cs="Times New Roman"/>
          <w:sz w:val="24"/>
          <w:szCs w:val="24"/>
          <w:lang w:eastAsia="hr-HR"/>
        </w:rPr>
        <w:t>6</w:t>
      </w:r>
      <w:r w:rsidRPr="004665E0">
        <w:rPr>
          <w:rFonts w:ascii="Times New Roman" w:eastAsia="Times New Roman" w:hAnsi="Times New Roman" w:cs="Times New Roman"/>
          <w:sz w:val="24"/>
          <w:szCs w:val="24"/>
          <w:lang w:eastAsia="hr-HR"/>
        </w:rPr>
        <w:t>. prikazan je broj i struktura zaprimljenih obavijesti o sumnjivim transakcijama, sredstvima i osobama u 202</w:t>
      </w:r>
      <w:r>
        <w:rPr>
          <w:rFonts w:ascii="Times New Roman" w:eastAsia="Times New Roman" w:hAnsi="Times New Roman" w:cs="Times New Roman"/>
          <w:sz w:val="24"/>
          <w:szCs w:val="24"/>
          <w:lang w:eastAsia="hr-HR"/>
        </w:rPr>
        <w:t>1</w:t>
      </w:r>
      <w:r w:rsidRPr="004665E0">
        <w:rPr>
          <w:rFonts w:ascii="Times New Roman" w:eastAsia="Times New Roman" w:hAnsi="Times New Roman" w:cs="Times New Roman"/>
          <w:sz w:val="24"/>
          <w:szCs w:val="24"/>
          <w:lang w:eastAsia="hr-HR"/>
        </w:rPr>
        <w:t>. i 202</w:t>
      </w:r>
      <w:r>
        <w:rPr>
          <w:rFonts w:ascii="Times New Roman" w:eastAsia="Times New Roman" w:hAnsi="Times New Roman" w:cs="Times New Roman"/>
          <w:sz w:val="24"/>
          <w:szCs w:val="24"/>
          <w:lang w:eastAsia="hr-HR"/>
        </w:rPr>
        <w:t>2</w:t>
      </w:r>
      <w:r w:rsidRPr="004665E0">
        <w:rPr>
          <w:rFonts w:ascii="Times New Roman" w:eastAsia="Times New Roman" w:hAnsi="Times New Roman" w:cs="Times New Roman"/>
          <w:sz w:val="24"/>
          <w:szCs w:val="24"/>
          <w:lang w:eastAsia="hr-HR"/>
        </w:rPr>
        <w:t xml:space="preserve">. </w:t>
      </w:r>
      <w:r w:rsidRPr="00176484">
        <w:rPr>
          <w:rFonts w:ascii="Times New Roman" w:eastAsia="Times New Roman" w:hAnsi="Times New Roman" w:cs="Times New Roman"/>
          <w:sz w:val="24"/>
          <w:szCs w:val="24"/>
          <w:lang w:eastAsia="hr-HR"/>
        </w:rPr>
        <w:t>po obveznicima te je u istoj vidljivo</w:t>
      </w:r>
      <w:r w:rsidRPr="00176484">
        <w:rPr>
          <w:rFonts w:ascii="Times New Roman" w:eastAsia="Times New Roman" w:hAnsi="Times New Roman" w:cs="Times New Roman"/>
          <w:b/>
          <w:sz w:val="24"/>
          <w:szCs w:val="24"/>
          <w:lang w:eastAsia="hr-HR"/>
        </w:rPr>
        <w:t xml:space="preserve"> </w:t>
      </w:r>
      <w:r w:rsidRPr="00176484">
        <w:rPr>
          <w:rFonts w:ascii="Times New Roman" w:eastAsia="Times New Roman" w:hAnsi="Times New Roman" w:cs="Times New Roman"/>
          <w:sz w:val="24"/>
          <w:szCs w:val="24"/>
          <w:lang w:eastAsia="hr-HR"/>
        </w:rPr>
        <w:t>da je</w:t>
      </w:r>
      <w:r w:rsidRPr="00176484">
        <w:rPr>
          <w:rFonts w:ascii="Times New Roman" w:eastAsia="Times New Roman" w:hAnsi="Times New Roman" w:cs="Times New Roman"/>
          <w:b/>
          <w:sz w:val="24"/>
          <w:szCs w:val="24"/>
          <w:lang w:eastAsia="hr-HR"/>
        </w:rPr>
        <w:t xml:space="preserve"> </w:t>
      </w:r>
      <w:r w:rsidRPr="00176484">
        <w:rPr>
          <w:rFonts w:ascii="Times New Roman" w:eastAsia="Times New Roman" w:hAnsi="Times New Roman" w:cs="Times New Roman"/>
          <w:sz w:val="24"/>
          <w:szCs w:val="24"/>
          <w:lang w:eastAsia="hr-HR"/>
        </w:rPr>
        <w:t>najveći broj obavijesti o sumnjivim transakcijama, sredstvima i osobama u 202</w:t>
      </w:r>
      <w:r>
        <w:rPr>
          <w:rFonts w:ascii="Times New Roman" w:eastAsia="Times New Roman" w:hAnsi="Times New Roman" w:cs="Times New Roman"/>
          <w:sz w:val="24"/>
          <w:szCs w:val="24"/>
          <w:lang w:eastAsia="hr-HR"/>
        </w:rPr>
        <w:t>2</w:t>
      </w:r>
      <w:r w:rsidRPr="00176484">
        <w:rPr>
          <w:rFonts w:ascii="Times New Roman" w:eastAsia="Times New Roman" w:hAnsi="Times New Roman" w:cs="Times New Roman"/>
          <w:sz w:val="24"/>
          <w:szCs w:val="24"/>
          <w:lang w:eastAsia="hr-HR"/>
        </w:rPr>
        <w:t>. kao i u 202</w:t>
      </w:r>
      <w:r>
        <w:rPr>
          <w:rFonts w:ascii="Times New Roman" w:eastAsia="Times New Roman" w:hAnsi="Times New Roman" w:cs="Times New Roman"/>
          <w:sz w:val="24"/>
          <w:szCs w:val="24"/>
          <w:lang w:eastAsia="hr-HR"/>
        </w:rPr>
        <w:t>1</w:t>
      </w:r>
      <w:r w:rsidRPr="00176484">
        <w:rPr>
          <w:rFonts w:ascii="Times New Roman" w:eastAsia="Times New Roman" w:hAnsi="Times New Roman" w:cs="Times New Roman"/>
          <w:sz w:val="24"/>
          <w:szCs w:val="24"/>
          <w:lang w:eastAsia="hr-HR"/>
        </w:rPr>
        <w:t>. zaprimljen od banaka. Udio bankarskog sektora u ukupnom broju zaprimljenih obavijesti o sumnjivim transakcijama, sredstvima i osobama u 202</w:t>
      </w:r>
      <w:r>
        <w:rPr>
          <w:rFonts w:ascii="Times New Roman" w:eastAsia="Times New Roman" w:hAnsi="Times New Roman" w:cs="Times New Roman"/>
          <w:sz w:val="24"/>
          <w:szCs w:val="24"/>
          <w:lang w:eastAsia="hr-HR"/>
        </w:rPr>
        <w:t>2</w:t>
      </w:r>
      <w:r w:rsidRPr="00176484">
        <w:rPr>
          <w:rFonts w:ascii="Times New Roman" w:eastAsia="Times New Roman" w:hAnsi="Times New Roman" w:cs="Times New Roman"/>
          <w:sz w:val="24"/>
          <w:szCs w:val="24"/>
          <w:lang w:eastAsia="hr-HR"/>
        </w:rPr>
        <w:t>. iznosio je 8</w:t>
      </w:r>
      <w:r>
        <w:rPr>
          <w:rFonts w:ascii="Times New Roman" w:eastAsia="Times New Roman" w:hAnsi="Times New Roman" w:cs="Times New Roman"/>
          <w:sz w:val="24"/>
          <w:szCs w:val="24"/>
          <w:lang w:eastAsia="hr-HR"/>
        </w:rPr>
        <w:t>4</w:t>
      </w:r>
      <w:r w:rsidRPr="0017648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76</w:t>
      </w:r>
      <w:r w:rsidRPr="00176484">
        <w:rPr>
          <w:rFonts w:ascii="Times New Roman" w:eastAsia="Times New Roman" w:hAnsi="Times New Roman" w:cs="Times New Roman"/>
          <w:sz w:val="24"/>
          <w:szCs w:val="24"/>
          <w:lang w:eastAsia="hr-HR"/>
        </w:rPr>
        <w:t xml:space="preserve"> % dok je u 202</w:t>
      </w:r>
      <w:r>
        <w:rPr>
          <w:rFonts w:ascii="Times New Roman" w:eastAsia="Times New Roman" w:hAnsi="Times New Roman" w:cs="Times New Roman"/>
          <w:sz w:val="24"/>
          <w:szCs w:val="24"/>
          <w:lang w:eastAsia="hr-HR"/>
        </w:rPr>
        <w:t>1</w:t>
      </w:r>
      <w:r w:rsidRPr="00176484">
        <w:rPr>
          <w:rFonts w:ascii="Times New Roman" w:eastAsia="Times New Roman" w:hAnsi="Times New Roman" w:cs="Times New Roman"/>
          <w:sz w:val="24"/>
          <w:szCs w:val="24"/>
          <w:lang w:eastAsia="hr-HR"/>
        </w:rPr>
        <w:t xml:space="preserve">. bio </w:t>
      </w:r>
      <w:r>
        <w:rPr>
          <w:rFonts w:ascii="Times New Roman" w:eastAsia="Times New Roman" w:hAnsi="Times New Roman" w:cs="Times New Roman"/>
          <w:sz w:val="24"/>
          <w:szCs w:val="24"/>
          <w:lang w:eastAsia="hr-HR"/>
        </w:rPr>
        <w:t xml:space="preserve">89,50 </w:t>
      </w:r>
      <w:r w:rsidRPr="00176484">
        <w:rPr>
          <w:rFonts w:ascii="Times New Roman" w:eastAsia="Times New Roman" w:hAnsi="Times New Roman" w:cs="Times New Roman"/>
          <w:sz w:val="24"/>
          <w:szCs w:val="24"/>
          <w:lang w:eastAsia="hr-HR"/>
        </w:rPr>
        <w:t xml:space="preserve">%. </w:t>
      </w:r>
    </w:p>
    <w:p w14:paraId="3EABA623" w14:textId="36BEED7D" w:rsidR="00863EF0" w:rsidRPr="00863EF0" w:rsidRDefault="00863EF0" w:rsidP="00863EF0">
      <w:pPr>
        <w:spacing w:after="0" w:line="240" w:lineRule="auto"/>
        <w:jc w:val="both"/>
        <w:rPr>
          <w:rFonts w:ascii="Times New Roman" w:hAnsi="Times New Roman" w:cs="Times New Roman"/>
          <w:sz w:val="24"/>
          <w:szCs w:val="24"/>
        </w:rPr>
      </w:pPr>
      <w:r w:rsidRPr="00863EF0">
        <w:rPr>
          <w:rFonts w:ascii="Times New Roman" w:eastAsia="Calibri" w:hAnsi="Times New Roman" w:cs="Times New Roman"/>
          <w:bCs/>
          <w:sz w:val="24"/>
          <w:szCs w:val="24"/>
        </w:rPr>
        <w:lastRenderedPageBreak/>
        <w:t xml:space="preserve">Tablica 16. Broj i struktura zaprimljenih obavijesti o sumnjivim transakcijama, sredstvima i osobama u 2022. po obveznicima </w:t>
      </w:r>
      <w:r w:rsidRPr="00863EF0">
        <w:rPr>
          <w:rFonts w:ascii="Times New Roman" w:hAnsi="Times New Roman" w:cs="Times New Roman"/>
          <w:sz w:val="24"/>
          <w:szCs w:val="24"/>
        </w:rPr>
        <w:fldChar w:fldCharType="begin"/>
      </w:r>
      <w:r w:rsidRPr="00863EF0">
        <w:rPr>
          <w:rFonts w:ascii="Times New Roman" w:hAnsi="Times New Roman" w:cs="Times New Roman"/>
          <w:sz w:val="24"/>
          <w:szCs w:val="24"/>
        </w:rPr>
        <w:instrText xml:space="preserve"> LINK Excel.Sheet.12 "Knjiga1" "List8!R1C1:R20C5" \a \f 4 \h  \* MERGEFORMAT </w:instrText>
      </w:r>
      <w:r w:rsidRPr="00863EF0">
        <w:rPr>
          <w:rFonts w:ascii="Times New Roman" w:hAnsi="Times New Roman" w:cs="Times New Roman"/>
          <w:sz w:val="24"/>
          <w:szCs w:val="24"/>
        </w:rPr>
        <w:fldChar w:fldCharType="separate"/>
      </w:r>
    </w:p>
    <w:p w14:paraId="5A116A00" w14:textId="77777777" w:rsidR="00863EF0" w:rsidRDefault="00863EF0" w:rsidP="00863EF0">
      <w:pPr>
        <w:spacing w:after="0" w:line="240" w:lineRule="auto"/>
        <w:jc w:val="both"/>
        <w:rPr>
          <w:rFonts w:ascii="Times New Roman" w:eastAsia="Calibri" w:hAnsi="Times New Roman" w:cs="Times New Roman"/>
          <w:bCs/>
          <w:sz w:val="24"/>
          <w:szCs w:val="24"/>
          <w:u w:val="single"/>
        </w:rPr>
      </w:pPr>
      <w:r w:rsidRPr="00863EF0">
        <w:rPr>
          <w:rFonts w:ascii="Times New Roman" w:eastAsia="Calibri" w:hAnsi="Times New Roman" w:cs="Times New Roman"/>
          <w:bCs/>
          <w:sz w:val="24"/>
          <w:szCs w:val="24"/>
        </w:rPr>
        <w:fldChar w:fldCharType="end"/>
      </w:r>
    </w:p>
    <w:tbl>
      <w:tblPr>
        <w:tblW w:w="9021" w:type="dxa"/>
        <w:tblInd w:w="-5" w:type="dxa"/>
        <w:tblLook w:val="04A0" w:firstRow="1" w:lastRow="0" w:firstColumn="1" w:lastColumn="0" w:noHBand="0" w:noVBand="1"/>
      </w:tblPr>
      <w:tblGrid>
        <w:gridCol w:w="4180"/>
        <w:gridCol w:w="1266"/>
        <w:gridCol w:w="1214"/>
        <w:gridCol w:w="1246"/>
        <w:gridCol w:w="1115"/>
      </w:tblGrid>
      <w:tr w:rsidR="00863EF0" w:rsidRPr="00375117" w14:paraId="4272DD9A" w14:textId="77777777" w:rsidTr="00863EF0">
        <w:trPr>
          <w:trHeight w:val="315"/>
        </w:trPr>
        <w:tc>
          <w:tcPr>
            <w:tcW w:w="41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91C614E" w14:textId="77777777" w:rsidR="00863EF0" w:rsidRPr="00375117"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375117">
              <w:rPr>
                <w:rFonts w:ascii="Times New Roman" w:eastAsia="Times New Roman" w:hAnsi="Times New Roman" w:cs="Times New Roman"/>
                <w:b/>
                <w:color w:val="000000"/>
                <w:sz w:val="20"/>
                <w:szCs w:val="20"/>
                <w:lang w:eastAsia="hr-HR"/>
              </w:rPr>
              <w:t>OBVEZNICI</w:t>
            </w:r>
          </w:p>
        </w:tc>
        <w:tc>
          <w:tcPr>
            <w:tcW w:w="2480"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00CDEF57" w14:textId="77777777" w:rsidR="00863EF0" w:rsidRPr="00375117"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375117">
              <w:rPr>
                <w:rFonts w:ascii="Times New Roman" w:eastAsia="Times New Roman" w:hAnsi="Times New Roman" w:cs="Times New Roman"/>
                <w:b/>
                <w:color w:val="000000"/>
                <w:sz w:val="20"/>
                <w:szCs w:val="20"/>
                <w:lang w:eastAsia="hr-HR"/>
              </w:rPr>
              <w:t>2021.</w:t>
            </w:r>
          </w:p>
        </w:tc>
        <w:tc>
          <w:tcPr>
            <w:tcW w:w="2361"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776395B3" w14:textId="77777777" w:rsidR="00863EF0" w:rsidRPr="00375117"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375117">
              <w:rPr>
                <w:rFonts w:ascii="Times New Roman" w:eastAsia="Times New Roman" w:hAnsi="Times New Roman" w:cs="Times New Roman"/>
                <w:b/>
                <w:color w:val="000000"/>
                <w:sz w:val="20"/>
                <w:szCs w:val="20"/>
                <w:lang w:eastAsia="hr-HR"/>
              </w:rPr>
              <w:t>2022.</w:t>
            </w:r>
          </w:p>
        </w:tc>
      </w:tr>
      <w:tr w:rsidR="00863EF0" w:rsidRPr="00375117" w14:paraId="1993A5F0" w14:textId="77777777" w:rsidTr="00863EF0">
        <w:trPr>
          <w:trHeight w:val="630"/>
        </w:trPr>
        <w:tc>
          <w:tcPr>
            <w:tcW w:w="4180" w:type="dxa"/>
            <w:vMerge/>
            <w:tcBorders>
              <w:top w:val="single" w:sz="4" w:space="0" w:color="auto"/>
              <w:left w:val="single" w:sz="4" w:space="0" w:color="auto"/>
              <w:bottom w:val="single" w:sz="4" w:space="0" w:color="auto"/>
              <w:right w:val="single" w:sz="4" w:space="0" w:color="auto"/>
            </w:tcBorders>
            <w:vAlign w:val="center"/>
            <w:hideMark/>
          </w:tcPr>
          <w:p w14:paraId="4BAC3FC6" w14:textId="77777777" w:rsidR="00863EF0" w:rsidRPr="00375117" w:rsidRDefault="00863EF0" w:rsidP="00863EF0">
            <w:pPr>
              <w:spacing w:after="0" w:line="240" w:lineRule="auto"/>
              <w:rPr>
                <w:rFonts w:ascii="Times New Roman" w:eastAsia="Times New Roman" w:hAnsi="Times New Roman" w:cs="Times New Roman"/>
                <w:b/>
                <w:color w:val="000000"/>
                <w:sz w:val="20"/>
                <w:szCs w:val="20"/>
                <w:lang w:eastAsia="hr-HR"/>
              </w:rPr>
            </w:pPr>
          </w:p>
        </w:tc>
        <w:tc>
          <w:tcPr>
            <w:tcW w:w="1266" w:type="dxa"/>
            <w:tcBorders>
              <w:top w:val="nil"/>
              <w:left w:val="nil"/>
              <w:bottom w:val="single" w:sz="4" w:space="0" w:color="auto"/>
              <w:right w:val="single" w:sz="4" w:space="0" w:color="auto"/>
            </w:tcBorders>
            <w:shd w:val="clear" w:color="000000" w:fill="F2F2F2"/>
            <w:vAlign w:val="center"/>
            <w:hideMark/>
          </w:tcPr>
          <w:p w14:paraId="2A177F2D" w14:textId="77777777" w:rsidR="00863EF0" w:rsidRPr="00375117"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375117">
              <w:rPr>
                <w:rFonts w:ascii="Times New Roman" w:eastAsia="Times New Roman" w:hAnsi="Times New Roman" w:cs="Times New Roman"/>
                <w:b/>
                <w:color w:val="000000"/>
                <w:sz w:val="20"/>
                <w:szCs w:val="20"/>
                <w:lang w:eastAsia="hr-HR"/>
              </w:rPr>
              <w:t>broj obavijesti</w:t>
            </w:r>
          </w:p>
        </w:tc>
        <w:tc>
          <w:tcPr>
            <w:tcW w:w="1214" w:type="dxa"/>
            <w:tcBorders>
              <w:top w:val="nil"/>
              <w:left w:val="nil"/>
              <w:bottom w:val="single" w:sz="4" w:space="0" w:color="auto"/>
              <w:right w:val="single" w:sz="4" w:space="0" w:color="auto"/>
            </w:tcBorders>
            <w:shd w:val="clear" w:color="000000" w:fill="F2F2F2"/>
            <w:noWrap/>
            <w:vAlign w:val="center"/>
            <w:hideMark/>
          </w:tcPr>
          <w:p w14:paraId="62769891" w14:textId="77777777" w:rsidR="00863EF0" w:rsidRPr="00375117"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375117">
              <w:rPr>
                <w:rFonts w:ascii="Times New Roman" w:eastAsia="Times New Roman" w:hAnsi="Times New Roman" w:cs="Times New Roman"/>
                <w:b/>
                <w:color w:val="000000"/>
                <w:sz w:val="20"/>
                <w:szCs w:val="20"/>
                <w:lang w:eastAsia="hr-HR"/>
              </w:rPr>
              <w:t>%</w:t>
            </w:r>
          </w:p>
        </w:tc>
        <w:tc>
          <w:tcPr>
            <w:tcW w:w="1246" w:type="dxa"/>
            <w:tcBorders>
              <w:top w:val="nil"/>
              <w:left w:val="nil"/>
              <w:bottom w:val="single" w:sz="4" w:space="0" w:color="auto"/>
              <w:right w:val="single" w:sz="4" w:space="0" w:color="auto"/>
            </w:tcBorders>
            <w:shd w:val="clear" w:color="000000" w:fill="F2F2F2"/>
            <w:vAlign w:val="center"/>
            <w:hideMark/>
          </w:tcPr>
          <w:p w14:paraId="7AC7EDDB" w14:textId="77777777" w:rsidR="00863EF0" w:rsidRPr="00375117"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375117">
              <w:rPr>
                <w:rFonts w:ascii="Times New Roman" w:eastAsia="Times New Roman" w:hAnsi="Times New Roman" w:cs="Times New Roman"/>
                <w:b/>
                <w:color w:val="000000"/>
                <w:sz w:val="20"/>
                <w:szCs w:val="20"/>
                <w:lang w:eastAsia="hr-HR"/>
              </w:rPr>
              <w:t>broj obavijesti</w:t>
            </w:r>
          </w:p>
        </w:tc>
        <w:tc>
          <w:tcPr>
            <w:tcW w:w="1115" w:type="dxa"/>
            <w:tcBorders>
              <w:top w:val="nil"/>
              <w:left w:val="nil"/>
              <w:bottom w:val="single" w:sz="4" w:space="0" w:color="auto"/>
              <w:right w:val="single" w:sz="4" w:space="0" w:color="auto"/>
            </w:tcBorders>
            <w:shd w:val="clear" w:color="000000" w:fill="F2F2F2"/>
            <w:noWrap/>
            <w:vAlign w:val="center"/>
            <w:hideMark/>
          </w:tcPr>
          <w:p w14:paraId="62FCDC13" w14:textId="77777777" w:rsidR="00863EF0" w:rsidRPr="00375117"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375117">
              <w:rPr>
                <w:rFonts w:ascii="Times New Roman" w:eastAsia="Times New Roman" w:hAnsi="Times New Roman" w:cs="Times New Roman"/>
                <w:b/>
                <w:color w:val="000000"/>
                <w:sz w:val="20"/>
                <w:szCs w:val="20"/>
                <w:lang w:eastAsia="hr-HR"/>
              </w:rPr>
              <w:t>%</w:t>
            </w:r>
          </w:p>
        </w:tc>
      </w:tr>
      <w:tr w:rsidR="00863EF0" w:rsidRPr="00375117" w14:paraId="24B5F7A1" w14:textId="77777777" w:rsidTr="00863EF0">
        <w:trPr>
          <w:trHeight w:val="31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051A448"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banke</w:t>
            </w:r>
          </w:p>
        </w:tc>
        <w:tc>
          <w:tcPr>
            <w:tcW w:w="1266" w:type="dxa"/>
            <w:tcBorders>
              <w:top w:val="nil"/>
              <w:left w:val="nil"/>
              <w:bottom w:val="single" w:sz="4" w:space="0" w:color="auto"/>
              <w:right w:val="single" w:sz="4" w:space="0" w:color="auto"/>
            </w:tcBorders>
            <w:shd w:val="clear" w:color="auto" w:fill="auto"/>
            <w:noWrap/>
            <w:vAlign w:val="center"/>
            <w:hideMark/>
          </w:tcPr>
          <w:p w14:paraId="67182B8E"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2889</w:t>
            </w:r>
          </w:p>
        </w:tc>
        <w:tc>
          <w:tcPr>
            <w:tcW w:w="1214" w:type="dxa"/>
            <w:tcBorders>
              <w:top w:val="nil"/>
              <w:left w:val="nil"/>
              <w:bottom w:val="single" w:sz="4" w:space="0" w:color="auto"/>
              <w:right w:val="single" w:sz="4" w:space="0" w:color="auto"/>
            </w:tcBorders>
            <w:shd w:val="clear" w:color="auto" w:fill="auto"/>
            <w:noWrap/>
            <w:vAlign w:val="center"/>
            <w:hideMark/>
          </w:tcPr>
          <w:p w14:paraId="254BD8C7"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89,50%</w:t>
            </w:r>
          </w:p>
        </w:tc>
        <w:tc>
          <w:tcPr>
            <w:tcW w:w="1246" w:type="dxa"/>
            <w:tcBorders>
              <w:top w:val="nil"/>
              <w:left w:val="nil"/>
              <w:bottom w:val="single" w:sz="4" w:space="0" w:color="auto"/>
              <w:right w:val="single" w:sz="4" w:space="0" w:color="auto"/>
            </w:tcBorders>
            <w:shd w:val="clear" w:color="auto" w:fill="auto"/>
            <w:noWrap/>
            <w:vAlign w:val="center"/>
            <w:hideMark/>
          </w:tcPr>
          <w:p w14:paraId="69C81D3D"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2747</w:t>
            </w:r>
          </w:p>
        </w:tc>
        <w:tc>
          <w:tcPr>
            <w:tcW w:w="1115" w:type="dxa"/>
            <w:tcBorders>
              <w:top w:val="nil"/>
              <w:left w:val="nil"/>
              <w:bottom w:val="single" w:sz="4" w:space="0" w:color="auto"/>
              <w:right w:val="single" w:sz="4" w:space="0" w:color="auto"/>
            </w:tcBorders>
            <w:shd w:val="clear" w:color="auto" w:fill="auto"/>
            <w:noWrap/>
            <w:vAlign w:val="center"/>
            <w:hideMark/>
          </w:tcPr>
          <w:p w14:paraId="3D1689EC"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84,76%</w:t>
            </w:r>
          </w:p>
        </w:tc>
      </w:tr>
      <w:tr w:rsidR="00863EF0" w:rsidRPr="00375117" w14:paraId="4327A85A" w14:textId="77777777" w:rsidTr="00863EF0">
        <w:trPr>
          <w:trHeight w:val="31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3E9AD9B"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zastupnici institucija za platni promet</w:t>
            </w:r>
          </w:p>
        </w:tc>
        <w:tc>
          <w:tcPr>
            <w:tcW w:w="1266" w:type="dxa"/>
            <w:tcBorders>
              <w:top w:val="nil"/>
              <w:left w:val="nil"/>
              <w:bottom w:val="single" w:sz="4" w:space="0" w:color="auto"/>
              <w:right w:val="single" w:sz="4" w:space="0" w:color="auto"/>
            </w:tcBorders>
            <w:shd w:val="clear" w:color="auto" w:fill="auto"/>
            <w:noWrap/>
            <w:vAlign w:val="center"/>
            <w:hideMark/>
          </w:tcPr>
          <w:p w14:paraId="66B61682"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212</w:t>
            </w:r>
          </w:p>
        </w:tc>
        <w:tc>
          <w:tcPr>
            <w:tcW w:w="1214" w:type="dxa"/>
            <w:tcBorders>
              <w:top w:val="nil"/>
              <w:left w:val="nil"/>
              <w:bottom w:val="single" w:sz="4" w:space="0" w:color="auto"/>
              <w:right w:val="single" w:sz="4" w:space="0" w:color="auto"/>
            </w:tcBorders>
            <w:shd w:val="clear" w:color="auto" w:fill="auto"/>
            <w:noWrap/>
            <w:vAlign w:val="center"/>
            <w:hideMark/>
          </w:tcPr>
          <w:p w14:paraId="728A5529"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6,56%</w:t>
            </w:r>
          </w:p>
        </w:tc>
        <w:tc>
          <w:tcPr>
            <w:tcW w:w="1246" w:type="dxa"/>
            <w:tcBorders>
              <w:top w:val="nil"/>
              <w:left w:val="nil"/>
              <w:bottom w:val="single" w:sz="4" w:space="0" w:color="auto"/>
              <w:right w:val="single" w:sz="4" w:space="0" w:color="auto"/>
            </w:tcBorders>
            <w:shd w:val="clear" w:color="auto" w:fill="auto"/>
            <w:noWrap/>
            <w:vAlign w:val="center"/>
            <w:hideMark/>
          </w:tcPr>
          <w:p w14:paraId="3FF2013A"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265</w:t>
            </w:r>
          </w:p>
        </w:tc>
        <w:tc>
          <w:tcPr>
            <w:tcW w:w="1115" w:type="dxa"/>
            <w:tcBorders>
              <w:top w:val="nil"/>
              <w:left w:val="nil"/>
              <w:bottom w:val="single" w:sz="4" w:space="0" w:color="auto"/>
              <w:right w:val="single" w:sz="4" w:space="0" w:color="auto"/>
            </w:tcBorders>
            <w:shd w:val="clear" w:color="auto" w:fill="auto"/>
            <w:noWrap/>
            <w:vAlign w:val="center"/>
            <w:hideMark/>
          </w:tcPr>
          <w:p w14:paraId="4225E74F"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8,18%</w:t>
            </w:r>
          </w:p>
        </w:tc>
      </w:tr>
      <w:tr w:rsidR="00863EF0" w:rsidRPr="00375117" w14:paraId="66A572F3" w14:textId="77777777" w:rsidTr="00863EF0">
        <w:trPr>
          <w:trHeight w:val="31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37258B0"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institucije za elektronički novac</w:t>
            </w:r>
          </w:p>
        </w:tc>
        <w:tc>
          <w:tcPr>
            <w:tcW w:w="1266" w:type="dxa"/>
            <w:tcBorders>
              <w:top w:val="nil"/>
              <w:left w:val="nil"/>
              <w:bottom w:val="single" w:sz="4" w:space="0" w:color="auto"/>
              <w:right w:val="single" w:sz="4" w:space="0" w:color="auto"/>
            </w:tcBorders>
            <w:shd w:val="clear" w:color="auto" w:fill="auto"/>
            <w:noWrap/>
            <w:vAlign w:val="center"/>
            <w:hideMark/>
          </w:tcPr>
          <w:p w14:paraId="34C14988"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1</w:t>
            </w:r>
          </w:p>
        </w:tc>
        <w:tc>
          <w:tcPr>
            <w:tcW w:w="1214" w:type="dxa"/>
            <w:tcBorders>
              <w:top w:val="nil"/>
              <w:left w:val="nil"/>
              <w:bottom w:val="single" w:sz="4" w:space="0" w:color="auto"/>
              <w:right w:val="single" w:sz="4" w:space="0" w:color="auto"/>
            </w:tcBorders>
            <w:shd w:val="clear" w:color="auto" w:fill="auto"/>
            <w:noWrap/>
            <w:vAlign w:val="center"/>
            <w:hideMark/>
          </w:tcPr>
          <w:p w14:paraId="762EA7F7"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0,03%</w:t>
            </w:r>
          </w:p>
        </w:tc>
        <w:tc>
          <w:tcPr>
            <w:tcW w:w="1246" w:type="dxa"/>
            <w:tcBorders>
              <w:top w:val="nil"/>
              <w:left w:val="nil"/>
              <w:bottom w:val="single" w:sz="4" w:space="0" w:color="auto"/>
              <w:right w:val="single" w:sz="4" w:space="0" w:color="auto"/>
            </w:tcBorders>
            <w:shd w:val="clear" w:color="auto" w:fill="auto"/>
            <w:noWrap/>
            <w:vAlign w:val="center"/>
            <w:hideMark/>
          </w:tcPr>
          <w:p w14:paraId="76EEAC75"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73</w:t>
            </w:r>
          </w:p>
        </w:tc>
        <w:tc>
          <w:tcPr>
            <w:tcW w:w="1115" w:type="dxa"/>
            <w:tcBorders>
              <w:top w:val="nil"/>
              <w:left w:val="nil"/>
              <w:bottom w:val="single" w:sz="4" w:space="0" w:color="auto"/>
              <w:right w:val="single" w:sz="4" w:space="0" w:color="auto"/>
            </w:tcBorders>
            <w:shd w:val="clear" w:color="auto" w:fill="auto"/>
            <w:noWrap/>
            <w:vAlign w:val="center"/>
            <w:hideMark/>
          </w:tcPr>
          <w:p w14:paraId="3D5AFCEA"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2,25%</w:t>
            </w:r>
          </w:p>
        </w:tc>
      </w:tr>
      <w:tr w:rsidR="00863EF0" w:rsidRPr="00375117" w14:paraId="505E3B9B" w14:textId="77777777" w:rsidTr="00863EF0">
        <w:trPr>
          <w:trHeight w:val="31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437BB3A"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HP-Hrvatska pošta d.d.</w:t>
            </w:r>
          </w:p>
        </w:tc>
        <w:tc>
          <w:tcPr>
            <w:tcW w:w="1266" w:type="dxa"/>
            <w:tcBorders>
              <w:top w:val="nil"/>
              <w:left w:val="nil"/>
              <w:bottom w:val="single" w:sz="4" w:space="0" w:color="auto"/>
              <w:right w:val="single" w:sz="4" w:space="0" w:color="auto"/>
            </w:tcBorders>
            <w:shd w:val="clear" w:color="auto" w:fill="auto"/>
            <w:noWrap/>
            <w:vAlign w:val="center"/>
            <w:hideMark/>
          </w:tcPr>
          <w:p w14:paraId="19168FF1"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74</w:t>
            </w:r>
          </w:p>
        </w:tc>
        <w:tc>
          <w:tcPr>
            <w:tcW w:w="1214" w:type="dxa"/>
            <w:tcBorders>
              <w:top w:val="nil"/>
              <w:left w:val="nil"/>
              <w:bottom w:val="single" w:sz="4" w:space="0" w:color="auto"/>
              <w:right w:val="single" w:sz="4" w:space="0" w:color="auto"/>
            </w:tcBorders>
            <w:shd w:val="clear" w:color="auto" w:fill="auto"/>
            <w:noWrap/>
            <w:vAlign w:val="center"/>
            <w:hideMark/>
          </w:tcPr>
          <w:p w14:paraId="119CCB5F"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2,29%</w:t>
            </w:r>
          </w:p>
        </w:tc>
        <w:tc>
          <w:tcPr>
            <w:tcW w:w="1246" w:type="dxa"/>
            <w:tcBorders>
              <w:top w:val="nil"/>
              <w:left w:val="nil"/>
              <w:bottom w:val="single" w:sz="4" w:space="0" w:color="auto"/>
              <w:right w:val="single" w:sz="4" w:space="0" w:color="auto"/>
            </w:tcBorders>
            <w:shd w:val="clear" w:color="auto" w:fill="auto"/>
            <w:noWrap/>
            <w:vAlign w:val="center"/>
            <w:hideMark/>
          </w:tcPr>
          <w:p w14:paraId="4732C58A"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47</w:t>
            </w:r>
          </w:p>
        </w:tc>
        <w:tc>
          <w:tcPr>
            <w:tcW w:w="1115" w:type="dxa"/>
            <w:tcBorders>
              <w:top w:val="nil"/>
              <w:left w:val="nil"/>
              <w:bottom w:val="single" w:sz="4" w:space="0" w:color="auto"/>
              <w:right w:val="single" w:sz="4" w:space="0" w:color="auto"/>
            </w:tcBorders>
            <w:shd w:val="clear" w:color="auto" w:fill="auto"/>
            <w:noWrap/>
            <w:vAlign w:val="center"/>
            <w:hideMark/>
          </w:tcPr>
          <w:p w14:paraId="01D12AA9"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1,45%</w:t>
            </w:r>
          </w:p>
        </w:tc>
      </w:tr>
      <w:tr w:rsidR="00863EF0" w:rsidRPr="00375117" w14:paraId="09A1C0F8" w14:textId="77777777" w:rsidTr="00863EF0">
        <w:trPr>
          <w:trHeight w:val="31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A219B94"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 xml:space="preserve">razmjena virtualnih i fiducijarnih valuta </w:t>
            </w:r>
          </w:p>
        </w:tc>
        <w:tc>
          <w:tcPr>
            <w:tcW w:w="1266" w:type="dxa"/>
            <w:tcBorders>
              <w:top w:val="nil"/>
              <w:left w:val="nil"/>
              <w:bottom w:val="single" w:sz="4" w:space="0" w:color="auto"/>
              <w:right w:val="single" w:sz="4" w:space="0" w:color="auto"/>
            </w:tcBorders>
            <w:shd w:val="clear" w:color="auto" w:fill="auto"/>
            <w:noWrap/>
            <w:vAlign w:val="center"/>
            <w:hideMark/>
          </w:tcPr>
          <w:p w14:paraId="065A4753"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8</w:t>
            </w:r>
          </w:p>
        </w:tc>
        <w:tc>
          <w:tcPr>
            <w:tcW w:w="1214" w:type="dxa"/>
            <w:tcBorders>
              <w:top w:val="nil"/>
              <w:left w:val="nil"/>
              <w:bottom w:val="single" w:sz="4" w:space="0" w:color="auto"/>
              <w:right w:val="single" w:sz="4" w:space="0" w:color="auto"/>
            </w:tcBorders>
            <w:shd w:val="clear" w:color="auto" w:fill="auto"/>
            <w:noWrap/>
            <w:vAlign w:val="center"/>
            <w:hideMark/>
          </w:tcPr>
          <w:p w14:paraId="506EE45D"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0,25%</w:t>
            </w:r>
          </w:p>
        </w:tc>
        <w:tc>
          <w:tcPr>
            <w:tcW w:w="1246" w:type="dxa"/>
            <w:tcBorders>
              <w:top w:val="nil"/>
              <w:left w:val="nil"/>
              <w:bottom w:val="single" w:sz="4" w:space="0" w:color="auto"/>
              <w:right w:val="single" w:sz="4" w:space="0" w:color="auto"/>
            </w:tcBorders>
            <w:shd w:val="clear" w:color="auto" w:fill="auto"/>
            <w:noWrap/>
            <w:vAlign w:val="center"/>
            <w:hideMark/>
          </w:tcPr>
          <w:p w14:paraId="493B99E1"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36</w:t>
            </w:r>
          </w:p>
        </w:tc>
        <w:tc>
          <w:tcPr>
            <w:tcW w:w="1115" w:type="dxa"/>
            <w:tcBorders>
              <w:top w:val="nil"/>
              <w:left w:val="nil"/>
              <w:bottom w:val="single" w:sz="4" w:space="0" w:color="auto"/>
              <w:right w:val="single" w:sz="4" w:space="0" w:color="auto"/>
            </w:tcBorders>
            <w:shd w:val="clear" w:color="auto" w:fill="auto"/>
            <w:noWrap/>
            <w:vAlign w:val="center"/>
            <w:hideMark/>
          </w:tcPr>
          <w:p w14:paraId="0E8B1B44"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1,11%</w:t>
            </w:r>
          </w:p>
        </w:tc>
      </w:tr>
      <w:tr w:rsidR="00863EF0" w:rsidRPr="00375117" w14:paraId="34030429" w14:textId="77777777" w:rsidTr="00863EF0">
        <w:trPr>
          <w:trHeight w:val="31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D74A597"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priređivači igara na sreću</w:t>
            </w:r>
          </w:p>
        </w:tc>
        <w:tc>
          <w:tcPr>
            <w:tcW w:w="1266" w:type="dxa"/>
            <w:tcBorders>
              <w:top w:val="nil"/>
              <w:left w:val="nil"/>
              <w:bottom w:val="single" w:sz="4" w:space="0" w:color="auto"/>
              <w:right w:val="single" w:sz="4" w:space="0" w:color="auto"/>
            </w:tcBorders>
            <w:shd w:val="clear" w:color="auto" w:fill="auto"/>
            <w:noWrap/>
            <w:vAlign w:val="center"/>
            <w:hideMark/>
          </w:tcPr>
          <w:p w14:paraId="1F014DE0"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8</w:t>
            </w:r>
          </w:p>
        </w:tc>
        <w:tc>
          <w:tcPr>
            <w:tcW w:w="1214" w:type="dxa"/>
            <w:tcBorders>
              <w:top w:val="nil"/>
              <w:left w:val="nil"/>
              <w:bottom w:val="single" w:sz="4" w:space="0" w:color="auto"/>
              <w:right w:val="single" w:sz="4" w:space="0" w:color="auto"/>
            </w:tcBorders>
            <w:shd w:val="clear" w:color="auto" w:fill="auto"/>
            <w:noWrap/>
            <w:vAlign w:val="center"/>
            <w:hideMark/>
          </w:tcPr>
          <w:p w14:paraId="101550D0"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0,25%</w:t>
            </w:r>
          </w:p>
        </w:tc>
        <w:tc>
          <w:tcPr>
            <w:tcW w:w="1246" w:type="dxa"/>
            <w:tcBorders>
              <w:top w:val="nil"/>
              <w:left w:val="nil"/>
              <w:bottom w:val="single" w:sz="4" w:space="0" w:color="auto"/>
              <w:right w:val="single" w:sz="4" w:space="0" w:color="auto"/>
            </w:tcBorders>
            <w:shd w:val="clear" w:color="auto" w:fill="auto"/>
            <w:noWrap/>
            <w:vAlign w:val="center"/>
            <w:hideMark/>
          </w:tcPr>
          <w:p w14:paraId="1CC9E526"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22</w:t>
            </w:r>
          </w:p>
        </w:tc>
        <w:tc>
          <w:tcPr>
            <w:tcW w:w="1115" w:type="dxa"/>
            <w:tcBorders>
              <w:top w:val="nil"/>
              <w:left w:val="nil"/>
              <w:bottom w:val="single" w:sz="4" w:space="0" w:color="auto"/>
              <w:right w:val="single" w:sz="4" w:space="0" w:color="auto"/>
            </w:tcBorders>
            <w:shd w:val="clear" w:color="auto" w:fill="auto"/>
            <w:noWrap/>
            <w:vAlign w:val="center"/>
            <w:hideMark/>
          </w:tcPr>
          <w:p w14:paraId="0868B561"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0,68%</w:t>
            </w:r>
          </w:p>
        </w:tc>
      </w:tr>
      <w:tr w:rsidR="00863EF0" w:rsidRPr="00375117" w14:paraId="2EA01C58" w14:textId="77777777" w:rsidTr="00863EF0">
        <w:trPr>
          <w:trHeight w:val="31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2C35C07"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pružatelji investicijskih usluga</w:t>
            </w:r>
          </w:p>
        </w:tc>
        <w:tc>
          <w:tcPr>
            <w:tcW w:w="1266" w:type="dxa"/>
            <w:tcBorders>
              <w:top w:val="nil"/>
              <w:left w:val="nil"/>
              <w:bottom w:val="single" w:sz="4" w:space="0" w:color="auto"/>
              <w:right w:val="single" w:sz="4" w:space="0" w:color="auto"/>
            </w:tcBorders>
            <w:shd w:val="clear" w:color="auto" w:fill="auto"/>
            <w:noWrap/>
            <w:vAlign w:val="center"/>
            <w:hideMark/>
          </w:tcPr>
          <w:p w14:paraId="4BAE6F27"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14</w:t>
            </w:r>
          </w:p>
        </w:tc>
        <w:tc>
          <w:tcPr>
            <w:tcW w:w="1214" w:type="dxa"/>
            <w:tcBorders>
              <w:top w:val="nil"/>
              <w:left w:val="nil"/>
              <w:bottom w:val="single" w:sz="4" w:space="0" w:color="auto"/>
              <w:right w:val="single" w:sz="4" w:space="0" w:color="auto"/>
            </w:tcBorders>
            <w:shd w:val="clear" w:color="auto" w:fill="auto"/>
            <w:noWrap/>
            <w:vAlign w:val="center"/>
            <w:hideMark/>
          </w:tcPr>
          <w:p w14:paraId="7DEB19AF"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0,43%</w:t>
            </w:r>
          </w:p>
        </w:tc>
        <w:tc>
          <w:tcPr>
            <w:tcW w:w="1246" w:type="dxa"/>
            <w:tcBorders>
              <w:top w:val="nil"/>
              <w:left w:val="nil"/>
              <w:bottom w:val="single" w:sz="4" w:space="0" w:color="auto"/>
              <w:right w:val="single" w:sz="4" w:space="0" w:color="auto"/>
            </w:tcBorders>
            <w:shd w:val="clear" w:color="auto" w:fill="auto"/>
            <w:noWrap/>
            <w:vAlign w:val="center"/>
            <w:hideMark/>
          </w:tcPr>
          <w:p w14:paraId="3F454BB4"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12</w:t>
            </w:r>
          </w:p>
        </w:tc>
        <w:tc>
          <w:tcPr>
            <w:tcW w:w="1115" w:type="dxa"/>
            <w:tcBorders>
              <w:top w:val="nil"/>
              <w:left w:val="nil"/>
              <w:bottom w:val="single" w:sz="4" w:space="0" w:color="auto"/>
              <w:right w:val="single" w:sz="4" w:space="0" w:color="auto"/>
            </w:tcBorders>
            <w:shd w:val="clear" w:color="auto" w:fill="auto"/>
            <w:noWrap/>
            <w:vAlign w:val="center"/>
            <w:hideMark/>
          </w:tcPr>
          <w:p w14:paraId="60761F6A"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0,37%</w:t>
            </w:r>
          </w:p>
        </w:tc>
      </w:tr>
      <w:tr w:rsidR="00863EF0" w:rsidRPr="00375117" w14:paraId="5E86C3B6" w14:textId="77777777" w:rsidTr="00863EF0">
        <w:trPr>
          <w:trHeight w:val="31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4F6C38F4"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ovlašteni mjenjači</w:t>
            </w:r>
          </w:p>
        </w:tc>
        <w:tc>
          <w:tcPr>
            <w:tcW w:w="1266" w:type="dxa"/>
            <w:tcBorders>
              <w:top w:val="nil"/>
              <w:left w:val="nil"/>
              <w:bottom w:val="single" w:sz="4" w:space="0" w:color="auto"/>
              <w:right w:val="single" w:sz="4" w:space="0" w:color="auto"/>
            </w:tcBorders>
            <w:shd w:val="clear" w:color="auto" w:fill="auto"/>
            <w:noWrap/>
            <w:vAlign w:val="center"/>
            <w:hideMark/>
          </w:tcPr>
          <w:p w14:paraId="05D1D271"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8</w:t>
            </w:r>
          </w:p>
        </w:tc>
        <w:tc>
          <w:tcPr>
            <w:tcW w:w="1214" w:type="dxa"/>
            <w:tcBorders>
              <w:top w:val="nil"/>
              <w:left w:val="nil"/>
              <w:bottom w:val="single" w:sz="4" w:space="0" w:color="auto"/>
              <w:right w:val="single" w:sz="4" w:space="0" w:color="auto"/>
            </w:tcBorders>
            <w:shd w:val="clear" w:color="auto" w:fill="auto"/>
            <w:noWrap/>
            <w:vAlign w:val="center"/>
            <w:hideMark/>
          </w:tcPr>
          <w:p w14:paraId="5D82FECF"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0,25%</w:t>
            </w:r>
          </w:p>
        </w:tc>
        <w:tc>
          <w:tcPr>
            <w:tcW w:w="1246" w:type="dxa"/>
            <w:tcBorders>
              <w:top w:val="nil"/>
              <w:left w:val="nil"/>
              <w:bottom w:val="single" w:sz="4" w:space="0" w:color="auto"/>
              <w:right w:val="single" w:sz="4" w:space="0" w:color="auto"/>
            </w:tcBorders>
            <w:shd w:val="clear" w:color="auto" w:fill="auto"/>
            <w:noWrap/>
            <w:vAlign w:val="center"/>
            <w:hideMark/>
          </w:tcPr>
          <w:p w14:paraId="0576292A"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9</w:t>
            </w:r>
          </w:p>
        </w:tc>
        <w:tc>
          <w:tcPr>
            <w:tcW w:w="1115" w:type="dxa"/>
            <w:tcBorders>
              <w:top w:val="nil"/>
              <w:left w:val="nil"/>
              <w:bottom w:val="single" w:sz="4" w:space="0" w:color="auto"/>
              <w:right w:val="single" w:sz="4" w:space="0" w:color="auto"/>
            </w:tcBorders>
            <w:shd w:val="clear" w:color="auto" w:fill="auto"/>
            <w:noWrap/>
            <w:vAlign w:val="center"/>
            <w:hideMark/>
          </w:tcPr>
          <w:p w14:paraId="2115DB32"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0,28%</w:t>
            </w:r>
          </w:p>
        </w:tc>
      </w:tr>
      <w:tr w:rsidR="00863EF0" w:rsidRPr="00375117" w14:paraId="65A63EBD" w14:textId="77777777" w:rsidTr="00863EF0">
        <w:trPr>
          <w:trHeight w:val="31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30EFFF2"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 xml:space="preserve">vanjski računovođe </w:t>
            </w:r>
          </w:p>
        </w:tc>
        <w:tc>
          <w:tcPr>
            <w:tcW w:w="1266" w:type="dxa"/>
            <w:tcBorders>
              <w:top w:val="nil"/>
              <w:left w:val="nil"/>
              <w:bottom w:val="single" w:sz="4" w:space="0" w:color="auto"/>
              <w:right w:val="single" w:sz="4" w:space="0" w:color="auto"/>
            </w:tcBorders>
            <w:shd w:val="clear" w:color="auto" w:fill="auto"/>
            <w:noWrap/>
            <w:vAlign w:val="center"/>
            <w:hideMark/>
          </w:tcPr>
          <w:p w14:paraId="217DD729"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3</w:t>
            </w:r>
          </w:p>
        </w:tc>
        <w:tc>
          <w:tcPr>
            <w:tcW w:w="1214" w:type="dxa"/>
            <w:tcBorders>
              <w:top w:val="nil"/>
              <w:left w:val="nil"/>
              <w:bottom w:val="single" w:sz="4" w:space="0" w:color="auto"/>
              <w:right w:val="single" w:sz="4" w:space="0" w:color="auto"/>
            </w:tcBorders>
            <w:shd w:val="clear" w:color="auto" w:fill="auto"/>
            <w:noWrap/>
            <w:vAlign w:val="center"/>
            <w:hideMark/>
          </w:tcPr>
          <w:p w14:paraId="73B3F744"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0,12%</w:t>
            </w:r>
          </w:p>
        </w:tc>
        <w:tc>
          <w:tcPr>
            <w:tcW w:w="1246" w:type="dxa"/>
            <w:tcBorders>
              <w:top w:val="nil"/>
              <w:left w:val="nil"/>
              <w:bottom w:val="single" w:sz="4" w:space="0" w:color="auto"/>
              <w:right w:val="single" w:sz="4" w:space="0" w:color="auto"/>
            </w:tcBorders>
            <w:shd w:val="clear" w:color="auto" w:fill="auto"/>
            <w:noWrap/>
            <w:vAlign w:val="center"/>
            <w:hideMark/>
          </w:tcPr>
          <w:p w14:paraId="5A21CE75"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8</w:t>
            </w:r>
          </w:p>
        </w:tc>
        <w:tc>
          <w:tcPr>
            <w:tcW w:w="1115" w:type="dxa"/>
            <w:tcBorders>
              <w:top w:val="nil"/>
              <w:left w:val="nil"/>
              <w:bottom w:val="single" w:sz="4" w:space="0" w:color="auto"/>
              <w:right w:val="single" w:sz="4" w:space="0" w:color="auto"/>
            </w:tcBorders>
            <w:shd w:val="clear" w:color="auto" w:fill="auto"/>
            <w:noWrap/>
            <w:vAlign w:val="center"/>
            <w:hideMark/>
          </w:tcPr>
          <w:p w14:paraId="5DFA47ED"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0,25%</w:t>
            </w:r>
          </w:p>
        </w:tc>
      </w:tr>
      <w:tr w:rsidR="00863EF0" w:rsidRPr="00375117" w14:paraId="079674A2" w14:textId="77777777" w:rsidTr="00863EF0">
        <w:trPr>
          <w:trHeight w:val="31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5C1CB3A"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odvjetnici</w:t>
            </w:r>
          </w:p>
        </w:tc>
        <w:tc>
          <w:tcPr>
            <w:tcW w:w="1266" w:type="dxa"/>
            <w:tcBorders>
              <w:top w:val="nil"/>
              <w:left w:val="nil"/>
              <w:bottom w:val="single" w:sz="4" w:space="0" w:color="auto"/>
              <w:right w:val="single" w:sz="4" w:space="0" w:color="auto"/>
            </w:tcBorders>
            <w:shd w:val="clear" w:color="auto" w:fill="auto"/>
            <w:noWrap/>
            <w:vAlign w:val="center"/>
            <w:hideMark/>
          </w:tcPr>
          <w:p w14:paraId="669E3F7E"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w:t>
            </w:r>
          </w:p>
        </w:tc>
        <w:tc>
          <w:tcPr>
            <w:tcW w:w="1214" w:type="dxa"/>
            <w:tcBorders>
              <w:top w:val="nil"/>
              <w:left w:val="nil"/>
              <w:bottom w:val="single" w:sz="4" w:space="0" w:color="auto"/>
              <w:right w:val="single" w:sz="4" w:space="0" w:color="auto"/>
            </w:tcBorders>
            <w:shd w:val="clear" w:color="auto" w:fill="auto"/>
            <w:noWrap/>
            <w:vAlign w:val="center"/>
            <w:hideMark/>
          </w:tcPr>
          <w:p w14:paraId="5FF6B34B"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0,00%</w:t>
            </w:r>
          </w:p>
        </w:tc>
        <w:tc>
          <w:tcPr>
            <w:tcW w:w="1246" w:type="dxa"/>
            <w:tcBorders>
              <w:top w:val="nil"/>
              <w:left w:val="nil"/>
              <w:bottom w:val="single" w:sz="4" w:space="0" w:color="auto"/>
              <w:right w:val="single" w:sz="4" w:space="0" w:color="auto"/>
            </w:tcBorders>
            <w:shd w:val="clear" w:color="auto" w:fill="auto"/>
            <w:noWrap/>
            <w:vAlign w:val="center"/>
            <w:hideMark/>
          </w:tcPr>
          <w:p w14:paraId="16491B04"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7</w:t>
            </w:r>
          </w:p>
        </w:tc>
        <w:tc>
          <w:tcPr>
            <w:tcW w:w="1115" w:type="dxa"/>
            <w:tcBorders>
              <w:top w:val="nil"/>
              <w:left w:val="nil"/>
              <w:bottom w:val="single" w:sz="4" w:space="0" w:color="auto"/>
              <w:right w:val="single" w:sz="4" w:space="0" w:color="auto"/>
            </w:tcBorders>
            <w:shd w:val="clear" w:color="auto" w:fill="auto"/>
            <w:noWrap/>
            <w:vAlign w:val="center"/>
            <w:hideMark/>
          </w:tcPr>
          <w:p w14:paraId="0D9E28F8"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0,22%</w:t>
            </w:r>
          </w:p>
        </w:tc>
      </w:tr>
      <w:tr w:rsidR="00863EF0" w:rsidRPr="00375117" w14:paraId="5C2E728C" w14:textId="77777777" w:rsidTr="00863EF0">
        <w:trPr>
          <w:trHeight w:val="31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20529B8"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 xml:space="preserve">društva za osiguranje </w:t>
            </w:r>
          </w:p>
        </w:tc>
        <w:tc>
          <w:tcPr>
            <w:tcW w:w="1266" w:type="dxa"/>
            <w:tcBorders>
              <w:top w:val="nil"/>
              <w:left w:val="nil"/>
              <w:bottom w:val="single" w:sz="4" w:space="0" w:color="auto"/>
              <w:right w:val="single" w:sz="4" w:space="0" w:color="auto"/>
            </w:tcBorders>
            <w:shd w:val="clear" w:color="auto" w:fill="auto"/>
            <w:noWrap/>
            <w:vAlign w:val="center"/>
            <w:hideMark/>
          </w:tcPr>
          <w:p w14:paraId="0B1E3A89"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4</w:t>
            </w:r>
          </w:p>
        </w:tc>
        <w:tc>
          <w:tcPr>
            <w:tcW w:w="1214" w:type="dxa"/>
            <w:tcBorders>
              <w:top w:val="nil"/>
              <w:left w:val="nil"/>
              <w:bottom w:val="single" w:sz="4" w:space="0" w:color="auto"/>
              <w:right w:val="single" w:sz="4" w:space="0" w:color="auto"/>
            </w:tcBorders>
            <w:shd w:val="clear" w:color="auto" w:fill="auto"/>
            <w:noWrap/>
            <w:vAlign w:val="center"/>
            <w:hideMark/>
          </w:tcPr>
          <w:p w14:paraId="21B84036"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0,12%</w:t>
            </w:r>
          </w:p>
        </w:tc>
        <w:tc>
          <w:tcPr>
            <w:tcW w:w="1246" w:type="dxa"/>
            <w:tcBorders>
              <w:top w:val="nil"/>
              <w:left w:val="nil"/>
              <w:bottom w:val="single" w:sz="4" w:space="0" w:color="auto"/>
              <w:right w:val="single" w:sz="4" w:space="0" w:color="auto"/>
            </w:tcBorders>
            <w:shd w:val="clear" w:color="auto" w:fill="auto"/>
            <w:noWrap/>
            <w:vAlign w:val="center"/>
            <w:hideMark/>
          </w:tcPr>
          <w:p w14:paraId="34841210"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4</w:t>
            </w:r>
          </w:p>
        </w:tc>
        <w:tc>
          <w:tcPr>
            <w:tcW w:w="1115" w:type="dxa"/>
            <w:tcBorders>
              <w:top w:val="nil"/>
              <w:left w:val="nil"/>
              <w:bottom w:val="single" w:sz="4" w:space="0" w:color="auto"/>
              <w:right w:val="single" w:sz="4" w:space="0" w:color="auto"/>
            </w:tcBorders>
            <w:shd w:val="clear" w:color="auto" w:fill="auto"/>
            <w:noWrap/>
            <w:vAlign w:val="center"/>
            <w:hideMark/>
          </w:tcPr>
          <w:p w14:paraId="49B5BD5D"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0,12%</w:t>
            </w:r>
          </w:p>
        </w:tc>
      </w:tr>
      <w:tr w:rsidR="00863EF0" w:rsidRPr="00375117" w14:paraId="7B8979B6" w14:textId="77777777" w:rsidTr="00863EF0">
        <w:trPr>
          <w:trHeight w:val="31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CED55EC"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FINA</w:t>
            </w:r>
          </w:p>
        </w:tc>
        <w:tc>
          <w:tcPr>
            <w:tcW w:w="1266" w:type="dxa"/>
            <w:tcBorders>
              <w:top w:val="nil"/>
              <w:left w:val="nil"/>
              <w:bottom w:val="single" w:sz="4" w:space="0" w:color="auto"/>
              <w:right w:val="single" w:sz="4" w:space="0" w:color="auto"/>
            </w:tcBorders>
            <w:shd w:val="clear" w:color="auto" w:fill="auto"/>
            <w:noWrap/>
            <w:vAlign w:val="center"/>
            <w:hideMark/>
          </w:tcPr>
          <w:p w14:paraId="3806429C"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1</w:t>
            </w:r>
          </w:p>
        </w:tc>
        <w:tc>
          <w:tcPr>
            <w:tcW w:w="1214" w:type="dxa"/>
            <w:tcBorders>
              <w:top w:val="nil"/>
              <w:left w:val="nil"/>
              <w:bottom w:val="single" w:sz="4" w:space="0" w:color="auto"/>
              <w:right w:val="single" w:sz="4" w:space="0" w:color="auto"/>
            </w:tcBorders>
            <w:shd w:val="clear" w:color="auto" w:fill="auto"/>
            <w:noWrap/>
            <w:vAlign w:val="center"/>
            <w:hideMark/>
          </w:tcPr>
          <w:p w14:paraId="63362885"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0,03%</w:t>
            </w:r>
          </w:p>
        </w:tc>
        <w:tc>
          <w:tcPr>
            <w:tcW w:w="1246" w:type="dxa"/>
            <w:tcBorders>
              <w:top w:val="nil"/>
              <w:left w:val="nil"/>
              <w:bottom w:val="single" w:sz="4" w:space="0" w:color="auto"/>
              <w:right w:val="single" w:sz="4" w:space="0" w:color="auto"/>
            </w:tcBorders>
            <w:shd w:val="clear" w:color="auto" w:fill="auto"/>
            <w:noWrap/>
            <w:vAlign w:val="center"/>
            <w:hideMark/>
          </w:tcPr>
          <w:p w14:paraId="2FBD6BF5"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4</w:t>
            </w:r>
          </w:p>
        </w:tc>
        <w:tc>
          <w:tcPr>
            <w:tcW w:w="1115" w:type="dxa"/>
            <w:tcBorders>
              <w:top w:val="nil"/>
              <w:left w:val="nil"/>
              <w:bottom w:val="single" w:sz="4" w:space="0" w:color="auto"/>
              <w:right w:val="single" w:sz="4" w:space="0" w:color="auto"/>
            </w:tcBorders>
            <w:shd w:val="clear" w:color="auto" w:fill="auto"/>
            <w:noWrap/>
            <w:vAlign w:val="center"/>
            <w:hideMark/>
          </w:tcPr>
          <w:p w14:paraId="10E3503A"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0,12%</w:t>
            </w:r>
          </w:p>
        </w:tc>
      </w:tr>
      <w:tr w:rsidR="00863EF0" w:rsidRPr="00375117" w14:paraId="3AE5CBF2" w14:textId="77777777" w:rsidTr="00863EF0">
        <w:trPr>
          <w:trHeight w:val="31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40F479B"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leasing društva</w:t>
            </w:r>
          </w:p>
        </w:tc>
        <w:tc>
          <w:tcPr>
            <w:tcW w:w="1266" w:type="dxa"/>
            <w:tcBorders>
              <w:top w:val="nil"/>
              <w:left w:val="nil"/>
              <w:bottom w:val="single" w:sz="4" w:space="0" w:color="auto"/>
              <w:right w:val="single" w:sz="4" w:space="0" w:color="auto"/>
            </w:tcBorders>
            <w:shd w:val="clear" w:color="auto" w:fill="auto"/>
            <w:noWrap/>
            <w:vAlign w:val="center"/>
            <w:hideMark/>
          </w:tcPr>
          <w:p w14:paraId="393AF554"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2</w:t>
            </w:r>
          </w:p>
        </w:tc>
        <w:tc>
          <w:tcPr>
            <w:tcW w:w="1214" w:type="dxa"/>
            <w:tcBorders>
              <w:top w:val="nil"/>
              <w:left w:val="nil"/>
              <w:bottom w:val="single" w:sz="4" w:space="0" w:color="auto"/>
              <w:right w:val="single" w:sz="4" w:space="0" w:color="auto"/>
            </w:tcBorders>
            <w:shd w:val="clear" w:color="auto" w:fill="auto"/>
            <w:noWrap/>
            <w:vAlign w:val="center"/>
            <w:hideMark/>
          </w:tcPr>
          <w:p w14:paraId="25E26033"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0,06%</w:t>
            </w:r>
          </w:p>
        </w:tc>
        <w:tc>
          <w:tcPr>
            <w:tcW w:w="1246" w:type="dxa"/>
            <w:tcBorders>
              <w:top w:val="nil"/>
              <w:left w:val="nil"/>
              <w:bottom w:val="single" w:sz="4" w:space="0" w:color="auto"/>
              <w:right w:val="single" w:sz="4" w:space="0" w:color="auto"/>
            </w:tcBorders>
            <w:shd w:val="clear" w:color="auto" w:fill="auto"/>
            <w:noWrap/>
            <w:vAlign w:val="center"/>
            <w:hideMark/>
          </w:tcPr>
          <w:p w14:paraId="78913F58"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3</w:t>
            </w:r>
          </w:p>
        </w:tc>
        <w:tc>
          <w:tcPr>
            <w:tcW w:w="1115" w:type="dxa"/>
            <w:tcBorders>
              <w:top w:val="nil"/>
              <w:left w:val="nil"/>
              <w:bottom w:val="single" w:sz="4" w:space="0" w:color="auto"/>
              <w:right w:val="single" w:sz="4" w:space="0" w:color="auto"/>
            </w:tcBorders>
            <w:shd w:val="clear" w:color="auto" w:fill="auto"/>
            <w:noWrap/>
            <w:vAlign w:val="center"/>
            <w:hideMark/>
          </w:tcPr>
          <w:p w14:paraId="7738035C"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0,09%</w:t>
            </w:r>
          </w:p>
        </w:tc>
      </w:tr>
      <w:tr w:rsidR="00863EF0" w:rsidRPr="00375117" w14:paraId="7BEF1038" w14:textId="77777777" w:rsidTr="00863EF0">
        <w:trPr>
          <w:trHeight w:val="31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CCDCF91"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javni bilježnici</w:t>
            </w:r>
          </w:p>
        </w:tc>
        <w:tc>
          <w:tcPr>
            <w:tcW w:w="1266" w:type="dxa"/>
            <w:tcBorders>
              <w:top w:val="nil"/>
              <w:left w:val="nil"/>
              <w:bottom w:val="single" w:sz="4" w:space="0" w:color="auto"/>
              <w:right w:val="single" w:sz="4" w:space="0" w:color="auto"/>
            </w:tcBorders>
            <w:shd w:val="clear" w:color="auto" w:fill="auto"/>
            <w:noWrap/>
            <w:vAlign w:val="center"/>
            <w:hideMark/>
          </w:tcPr>
          <w:p w14:paraId="1EA0C08D"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3</w:t>
            </w:r>
          </w:p>
        </w:tc>
        <w:tc>
          <w:tcPr>
            <w:tcW w:w="1214" w:type="dxa"/>
            <w:tcBorders>
              <w:top w:val="nil"/>
              <w:left w:val="nil"/>
              <w:bottom w:val="single" w:sz="4" w:space="0" w:color="auto"/>
              <w:right w:val="single" w:sz="4" w:space="0" w:color="auto"/>
            </w:tcBorders>
            <w:shd w:val="clear" w:color="auto" w:fill="auto"/>
            <w:noWrap/>
            <w:vAlign w:val="center"/>
            <w:hideMark/>
          </w:tcPr>
          <w:p w14:paraId="180790A8"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0,09%</w:t>
            </w:r>
          </w:p>
        </w:tc>
        <w:tc>
          <w:tcPr>
            <w:tcW w:w="1246" w:type="dxa"/>
            <w:tcBorders>
              <w:top w:val="nil"/>
              <w:left w:val="nil"/>
              <w:bottom w:val="single" w:sz="4" w:space="0" w:color="auto"/>
              <w:right w:val="single" w:sz="4" w:space="0" w:color="auto"/>
            </w:tcBorders>
            <w:shd w:val="clear" w:color="auto" w:fill="auto"/>
            <w:noWrap/>
            <w:vAlign w:val="center"/>
            <w:hideMark/>
          </w:tcPr>
          <w:p w14:paraId="75452FAE"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2</w:t>
            </w:r>
          </w:p>
        </w:tc>
        <w:tc>
          <w:tcPr>
            <w:tcW w:w="1115" w:type="dxa"/>
            <w:tcBorders>
              <w:top w:val="nil"/>
              <w:left w:val="nil"/>
              <w:bottom w:val="single" w:sz="4" w:space="0" w:color="auto"/>
              <w:right w:val="single" w:sz="4" w:space="0" w:color="auto"/>
            </w:tcBorders>
            <w:shd w:val="clear" w:color="auto" w:fill="auto"/>
            <w:noWrap/>
            <w:vAlign w:val="center"/>
            <w:hideMark/>
          </w:tcPr>
          <w:p w14:paraId="7A431E51"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0,06%</w:t>
            </w:r>
          </w:p>
        </w:tc>
      </w:tr>
      <w:tr w:rsidR="00863EF0" w:rsidRPr="00375117" w14:paraId="68CBF0D5" w14:textId="77777777" w:rsidTr="00863EF0">
        <w:trPr>
          <w:trHeight w:val="31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D4E2BDB"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mirovinski fondovi</w:t>
            </w:r>
          </w:p>
        </w:tc>
        <w:tc>
          <w:tcPr>
            <w:tcW w:w="1266" w:type="dxa"/>
            <w:tcBorders>
              <w:top w:val="nil"/>
              <w:left w:val="nil"/>
              <w:bottom w:val="single" w:sz="4" w:space="0" w:color="auto"/>
              <w:right w:val="single" w:sz="4" w:space="0" w:color="auto"/>
            </w:tcBorders>
            <w:shd w:val="clear" w:color="auto" w:fill="auto"/>
            <w:noWrap/>
            <w:vAlign w:val="center"/>
            <w:hideMark/>
          </w:tcPr>
          <w:p w14:paraId="5AF53F9B"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r w:rsidRPr="00375117">
              <w:rPr>
                <w:rFonts w:ascii="Times New Roman" w:eastAsia="Times New Roman" w:hAnsi="Times New Roman" w:cs="Times New Roman"/>
                <w:color w:val="000000"/>
                <w:sz w:val="20"/>
                <w:szCs w:val="20"/>
                <w:lang w:eastAsia="hr-HR"/>
              </w:rPr>
              <w:t> </w:t>
            </w:r>
          </w:p>
        </w:tc>
        <w:tc>
          <w:tcPr>
            <w:tcW w:w="1214" w:type="dxa"/>
            <w:tcBorders>
              <w:top w:val="nil"/>
              <w:left w:val="nil"/>
              <w:bottom w:val="single" w:sz="4" w:space="0" w:color="auto"/>
              <w:right w:val="single" w:sz="4" w:space="0" w:color="auto"/>
            </w:tcBorders>
            <w:shd w:val="clear" w:color="auto" w:fill="auto"/>
            <w:noWrap/>
            <w:vAlign w:val="center"/>
            <w:hideMark/>
          </w:tcPr>
          <w:p w14:paraId="0D960F5A"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 </w:t>
            </w:r>
          </w:p>
        </w:tc>
        <w:tc>
          <w:tcPr>
            <w:tcW w:w="1246" w:type="dxa"/>
            <w:tcBorders>
              <w:top w:val="nil"/>
              <w:left w:val="nil"/>
              <w:bottom w:val="single" w:sz="4" w:space="0" w:color="auto"/>
              <w:right w:val="single" w:sz="4" w:space="0" w:color="auto"/>
            </w:tcBorders>
            <w:shd w:val="clear" w:color="auto" w:fill="auto"/>
            <w:noWrap/>
            <w:vAlign w:val="center"/>
            <w:hideMark/>
          </w:tcPr>
          <w:p w14:paraId="50D7B4B4"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1</w:t>
            </w:r>
          </w:p>
        </w:tc>
        <w:tc>
          <w:tcPr>
            <w:tcW w:w="1115" w:type="dxa"/>
            <w:tcBorders>
              <w:top w:val="nil"/>
              <w:left w:val="nil"/>
              <w:bottom w:val="single" w:sz="4" w:space="0" w:color="auto"/>
              <w:right w:val="single" w:sz="4" w:space="0" w:color="auto"/>
            </w:tcBorders>
            <w:shd w:val="clear" w:color="auto" w:fill="auto"/>
            <w:noWrap/>
            <w:vAlign w:val="center"/>
            <w:hideMark/>
          </w:tcPr>
          <w:p w14:paraId="7E3C4264"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0,03%</w:t>
            </w:r>
          </w:p>
        </w:tc>
      </w:tr>
      <w:tr w:rsidR="00863EF0" w:rsidRPr="00375117" w14:paraId="598A7319" w14:textId="77777777" w:rsidTr="00863EF0">
        <w:trPr>
          <w:trHeight w:val="31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2E31AFB"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stambene štedionice</w:t>
            </w:r>
          </w:p>
        </w:tc>
        <w:tc>
          <w:tcPr>
            <w:tcW w:w="1266" w:type="dxa"/>
            <w:tcBorders>
              <w:top w:val="nil"/>
              <w:left w:val="nil"/>
              <w:bottom w:val="single" w:sz="4" w:space="0" w:color="auto"/>
              <w:right w:val="single" w:sz="4" w:space="0" w:color="auto"/>
            </w:tcBorders>
            <w:shd w:val="clear" w:color="auto" w:fill="auto"/>
            <w:noWrap/>
            <w:vAlign w:val="center"/>
            <w:hideMark/>
          </w:tcPr>
          <w:p w14:paraId="0D8EF5D7"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2</w:t>
            </w:r>
          </w:p>
        </w:tc>
        <w:tc>
          <w:tcPr>
            <w:tcW w:w="1214" w:type="dxa"/>
            <w:tcBorders>
              <w:top w:val="nil"/>
              <w:left w:val="nil"/>
              <w:bottom w:val="single" w:sz="4" w:space="0" w:color="auto"/>
              <w:right w:val="single" w:sz="4" w:space="0" w:color="auto"/>
            </w:tcBorders>
            <w:shd w:val="clear" w:color="auto" w:fill="auto"/>
            <w:noWrap/>
            <w:vAlign w:val="center"/>
            <w:hideMark/>
          </w:tcPr>
          <w:p w14:paraId="4079E6E3"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0,06%</w:t>
            </w:r>
          </w:p>
        </w:tc>
        <w:tc>
          <w:tcPr>
            <w:tcW w:w="1246" w:type="dxa"/>
            <w:tcBorders>
              <w:top w:val="nil"/>
              <w:left w:val="nil"/>
              <w:bottom w:val="single" w:sz="4" w:space="0" w:color="auto"/>
              <w:right w:val="single" w:sz="4" w:space="0" w:color="auto"/>
            </w:tcBorders>
            <w:shd w:val="clear" w:color="auto" w:fill="auto"/>
            <w:noWrap/>
            <w:vAlign w:val="center"/>
            <w:hideMark/>
          </w:tcPr>
          <w:p w14:paraId="1F9B6BA2"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1</w:t>
            </w:r>
          </w:p>
        </w:tc>
        <w:tc>
          <w:tcPr>
            <w:tcW w:w="1115" w:type="dxa"/>
            <w:tcBorders>
              <w:top w:val="nil"/>
              <w:left w:val="nil"/>
              <w:bottom w:val="single" w:sz="4" w:space="0" w:color="auto"/>
              <w:right w:val="single" w:sz="4" w:space="0" w:color="auto"/>
            </w:tcBorders>
            <w:shd w:val="clear" w:color="auto" w:fill="auto"/>
            <w:noWrap/>
            <w:vAlign w:val="center"/>
            <w:hideMark/>
          </w:tcPr>
          <w:p w14:paraId="287CDF2C"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0,03%</w:t>
            </w:r>
          </w:p>
        </w:tc>
      </w:tr>
      <w:tr w:rsidR="00863EF0" w:rsidRPr="00375117" w14:paraId="30059D4D" w14:textId="77777777" w:rsidTr="00863EF0">
        <w:trPr>
          <w:trHeight w:val="315"/>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F6E774D"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otkup i naplata potraživanja</w:t>
            </w:r>
          </w:p>
        </w:tc>
        <w:tc>
          <w:tcPr>
            <w:tcW w:w="1266" w:type="dxa"/>
            <w:tcBorders>
              <w:top w:val="nil"/>
              <w:left w:val="nil"/>
              <w:bottom w:val="single" w:sz="4" w:space="0" w:color="auto"/>
              <w:right w:val="single" w:sz="4" w:space="0" w:color="auto"/>
            </w:tcBorders>
            <w:shd w:val="clear" w:color="auto" w:fill="auto"/>
            <w:noWrap/>
            <w:vAlign w:val="center"/>
            <w:hideMark/>
          </w:tcPr>
          <w:p w14:paraId="3BE38A0F"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1</w:t>
            </w:r>
          </w:p>
        </w:tc>
        <w:tc>
          <w:tcPr>
            <w:tcW w:w="1214" w:type="dxa"/>
            <w:tcBorders>
              <w:top w:val="nil"/>
              <w:left w:val="nil"/>
              <w:bottom w:val="single" w:sz="4" w:space="0" w:color="auto"/>
              <w:right w:val="single" w:sz="4" w:space="0" w:color="auto"/>
            </w:tcBorders>
            <w:shd w:val="clear" w:color="auto" w:fill="auto"/>
            <w:noWrap/>
            <w:vAlign w:val="center"/>
            <w:hideMark/>
          </w:tcPr>
          <w:p w14:paraId="2334270F"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0,03%</w:t>
            </w:r>
          </w:p>
        </w:tc>
        <w:tc>
          <w:tcPr>
            <w:tcW w:w="1246" w:type="dxa"/>
            <w:tcBorders>
              <w:top w:val="nil"/>
              <w:left w:val="nil"/>
              <w:bottom w:val="single" w:sz="4" w:space="0" w:color="auto"/>
              <w:right w:val="single" w:sz="4" w:space="0" w:color="auto"/>
            </w:tcBorders>
            <w:shd w:val="clear" w:color="auto" w:fill="auto"/>
            <w:noWrap/>
            <w:vAlign w:val="center"/>
            <w:hideMark/>
          </w:tcPr>
          <w:p w14:paraId="22CB3A7A"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w:t>
            </w:r>
          </w:p>
        </w:tc>
        <w:tc>
          <w:tcPr>
            <w:tcW w:w="1115" w:type="dxa"/>
            <w:tcBorders>
              <w:top w:val="nil"/>
              <w:left w:val="nil"/>
              <w:bottom w:val="single" w:sz="4" w:space="0" w:color="auto"/>
              <w:right w:val="single" w:sz="4" w:space="0" w:color="auto"/>
            </w:tcBorders>
            <w:shd w:val="clear" w:color="auto" w:fill="auto"/>
            <w:noWrap/>
            <w:vAlign w:val="center"/>
            <w:hideMark/>
          </w:tcPr>
          <w:p w14:paraId="698F0D7E"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0,00%</w:t>
            </w:r>
          </w:p>
        </w:tc>
      </w:tr>
      <w:tr w:rsidR="00863EF0" w:rsidRPr="00375117" w14:paraId="0DAF9AF4" w14:textId="77777777" w:rsidTr="00863EF0">
        <w:trPr>
          <w:trHeight w:val="315"/>
        </w:trPr>
        <w:tc>
          <w:tcPr>
            <w:tcW w:w="4180" w:type="dxa"/>
            <w:tcBorders>
              <w:top w:val="nil"/>
              <w:left w:val="single" w:sz="4" w:space="0" w:color="auto"/>
              <w:bottom w:val="single" w:sz="4" w:space="0" w:color="auto"/>
              <w:right w:val="single" w:sz="4" w:space="0" w:color="auto"/>
            </w:tcBorders>
            <w:shd w:val="clear" w:color="000000" w:fill="F2F2F2"/>
            <w:noWrap/>
            <w:vAlign w:val="center"/>
            <w:hideMark/>
          </w:tcPr>
          <w:p w14:paraId="6270567B" w14:textId="77777777" w:rsidR="00863EF0" w:rsidRPr="00375117" w:rsidRDefault="00863EF0" w:rsidP="00863EF0">
            <w:pPr>
              <w:spacing w:after="0" w:line="240" w:lineRule="auto"/>
              <w:jc w:val="right"/>
              <w:rPr>
                <w:rFonts w:ascii="Times New Roman" w:eastAsia="Times New Roman" w:hAnsi="Times New Roman" w:cs="Times New Roman"/>
                <w:b/>
                <w:color w:val="000000"/>
                <w:sz w:val="20"/>
                <w:szCs w:val="20"/>
                <w:lang w:eastAsia="hr-HR"/>
              </w:rPr>
            </w:pPr>
            <w:r w:rsidRPr="00375117">
              <w:rPr>
                <w:rFonts w:ascii="Times New Roman" w:eastAsia="Times New Roman" w:hAnsi="Times New Roman" w:cs="Times New Roman"/>
                <w:b/>
                <w:color w:val="000000"/>
                <w:sz w:val="20"/>
                <w:szCs w:val="20"/>
                <w:lang w:eastAsia="hr-HR"/>
              </w:rPr>
              <w:t>Ukupno:</w:t>
            </w:r>
          </w:p>
        </w:tc>
        <w:tc>
          <w:tcPr>
            <w:tcW w:w="1266" w:type="dxa"/>
            <w:tcBorders>
              <w:top w:val="nil"/>
              <w:left w:val="nil"/>
              <w:bottom w:val="single" w:sz="4" w:space="0" w:color="auto"/>
              <w:right w:val="single" w:sz="4" w:space="0" w:color="auto"/>
            </w:tcBorders>
            <w:shd w:val="clear" w:color="000000" w:fill="F2F2F2"/>
            <w:noWrap/>
            <w:vAlign w:val="center"/>
            <w:hideMark/>
          </w:tcPr>
          <w:p w14:paraId="0AB29FC7" w14:textId="77777777" w:rsidR="00863EF0" w:rsidRPr="00375117"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375117">
              <w:rPr>
                <w:rFonts w:ascii="Times New Roman" w:eastAsia="Times New Roman" w:hAnsi="Times New Roman" w:cs="Times New Roman"/>
                <w:b/>
                <w:color w:val="000000"/>
                <w:sz w:val="20"/>
                <w:szCs w:val="20"/>
                <w:lang w:eastAsia="hr-HR"/>
              </w:rPr>
              <w:t>3230</w:t>
            </w:r>
          </w:p>
        </w:tc>
        <w:tc>
          <w:tcPr>
            <w:tcW w:w="1214" w:type="dxa"/>
            <w:tcBorders>
              <w:top w:val="nil"/>
              <w:left w:val="nil"/>
              <w:bottom w:val="single" w:sz="4" w:space="0" w:color="auto"/>
              <w:right w:val="single" w:sz="4" w:space="0" w:color="auto"/>
            </w:tcBorders>
            <w:shd w:val="clear" w:color="000000" w:fill="F2F2F2"/>
            <w:noWrap/>
            <w:vAlign w:val="center"/>
            <w:hideMark/>
          </w:tcPr>
          <w:p w14:paraId="01A848C6" w14:textId="77777777" w:rsidR="00863EF0" w:rsidRPr="00375117"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375117">
              <w:rPr>
                <w:rFonts w:ascii="Times New Roman" w:eastAsia="Times New Roman" w:hAnsi="Times New Roman" w:cs="Times New Roman"/>
                <w:b/>
                <w:color w:val="000000"/>
                <w:sz w:val="20"/>
                <w:szCs w:val="20"/>
                <w:lang w:eastAsia="hr-HR"/>
              </w:rPr>
              <w:t>100,00%</w:t>
            </w:r>
          </w:p>
        </w:tc>
        <w:tc>
          <w:tcPr>
            <w:tcW w:w="1246" w:type="dxa"/>
            <w:tcBorders>
              <w:top w:val="nil"/>
              <w:left w:val="nil"/>
              <w:bottom w:val="single" w:sz="4" w:space="0" w:color="auto"/>
              <w:right w:val="single" w:sz="4" w:space="0" w:color="auto"/>
            </w:tcBorders>
            <w:shd w:val="clear" w:color="000000" w:fill="F2F2F2"/>
            <w:noWrap/>
            <w:vAlign w:val="center"/>
            <w:hideMark/>
          </w:tcPr>
          <w:p w14:paraId="2FFC7F3D" w14:textId="77777777" w:rsidR="00863EF0" w:rsidRPr="00375117"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375117">
              <w:rPr>
                <w:rFonts w:ascii="Times New Roman" w:eastAsia="Times New Roman" w:hAnsi="Times New Roman" w:cs="Times New Roman"/>
                <w:b/>
                <w:color w:val="000000"/>
                <w:sz w:val="20"/>
                <w:szCs w:val="20"/>
                <w:lang w:eastAsia="hr-HR"/>
              </w:rPr>
              <w:t>3241</w:t>
            </w:r>
          </w:p>
        </w:tc>
        <w:tc>
          <w:tcPr>
            <w:tcW w:w="1115" w:type="dxa"/>
            <w:tcBorders>
              <w:top w:val="nil"/>
              <w:left w:val="nil"/>
              <w:bottom w:val="single" w:sz="4" w:space="0" w:color="auto"/>
              <w:right w:val="single" w:sz="4" w:space="0" w:color="auto"/>
            </w:tcBorders>
            <w:shd w:val="clear" w:color="000000" w:fill="F2F2F2"/>
            <w:noWrap/>
            <w:vAlign w:val="center"/>
            <w:hideMark/>
          </w:tcPr>
          <w:p w14:paraId="04AA208E" w14:textId="77777777" w:rsidR="00863EF0" w:rsidRPr="00375117"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375117">
              <w:rPr>
                <w:rFonts w:ascii="Times New Roman" w:eastAsia="Times New Roman" w:hAnsi="Times New Roman" w:cs="Times New Roman"/>
                <w:b/>
                <w:color w:val="000000"/>
                <w:sz w:val="20"/>
                <w:szCs w:val="20"/>
                <w:lang w:eastAsia="hr-HR"/>
              </w:rPr>
              <w:t>100,00%</w:t>
            </w:r>
          </w:p>
        </w:tc>
      </w:tr>
    </w:tbl>
    <w:p w14:paraId="24D836AE" w14:textId="77777777" w:rsidR="00863EF0" w:rsidRDefault="00863EF0" w:rsidP="00863EF0">
      <w:pPr>
        <w:spacing w:after="0" w:line="240" w:lineRule="auto"/>
        <w:jc w:val="both"/>
        <w:rPr>
          <w:rFonts w:ascii="Times New Roman" w:eastAsia="Calibri" w:hAnsi="Times New Roman" w:cs="Times New Roman"/>
          <w:bCs/>
          <w:sz w:val="24"/>
          <w:szCs w:val="24"/>
          <w:u w:val="single"/>
        </w:rPr>
      </w:pPr>
    </w:p>
    <w:p w14:paraId="15B67D9A" w14:textId="77777777" w:rsidR="00863EF0" w:rsidRPr="004665E0" w:rsidRDefault="00863EF0" w:rsidP="00863EF0">
      <w:pPr>
        <w:spacing w:after="0" w:line="240" w:lineRule="auto"/>
        <w:jc w:val="both"/>
        <w:rPr>
          <w:rFonts w:ascii="Times New Roman" w:eastAsia="Calibri" w:hAnsi="Times New Roman" w:cs="Times New Roman"/>
          <w:bCs/>
          <w:sz w:val="24"/>
          <w:szCs w:val="24"/>
          <w:u w:val="single"/>
        </w:rPr>
      </w:pPr>
    </w:p>
    <w:p w14:paraId="14FD4A9D" w14:textId="77777777" w:rsidR="00863EF0" w:rsidRPr="00D56722" w:rsidRDefault="00863EF0" w:rsidP="00863EF0">
      <w:pPr>
        <w:spacing w:after="0" w:line="240" w:lineRule="auto"/>
        <w:jc w:val="both"/>
        <w:rPr>
          <w:rFonts w:ascii="Times New Roman" w:eastAsia="Calibri" w:hAnsi="Times New Roman" w:cs="Times New Roman"/>
          <w:b/>
          <w:sz w:val="24"/>
          <w:szCs w:val="24"/>
        </w:rPr>
      </w:pPr>
      <w:r w:rsidRPr="00D56722">
        <w:rPr>
          <w:rFonts w:ascii="Times New Roman" w:eastAsia="Calibri" w:hAnsi="Times New Roman" w:cs="Times New Roman"/>
          <w:b/>
          <w:sz w:val="24"/>
          <w:szCs w:val="24"/>
        </w:rPr>
        <w:t>Podatci o broju obavijesti o sumnjivim transakcijama zaprimljenih od banaka u 2022. prema opisu načina provođenja transakcije</w:t>
      </w:r>
    </w:p>
    <w:p w14:paraId="542413B5" w14:textId="77777777" w:rsidR="00863EF0" w:rsidRDefault="00863EF0" w:rsidP="00863EF0">
      <w:pPr>
        <w:spacing w:after="0" w:line="240" w:lineRule="auto"/>
        <w:jc w:val="both"/>
        <w:rPr>
          <w:rFonts w:ascii="Times New Roman" w:eastAsia="Calibri" w:hAnsi="Times New Roman" w:cs="Times New Roman"/>
          <w:sz w:val="24"/>
          <w:szCs w:val="24"/>
        </w:rPr>
      </w:pPr>
    </w:p>
    <w:p w14:paraId="0714DE76" w14:textId="77777777" w:rsidR="00863EF0" w:rsidRPr="004665E0" w:rsidRDefault="00863EF0" w:rsidP="00863EF0">
      <w:pPr>
        <w:spacing w:after="0" w:line="240" w:lineRule="auto"/>
        <w:jc w:val="both"/>
        <w:rPr>
          <w:rFonts w:ascii="Times New Roman" w:eastAsia="Calibri" w:hAnsi="Times New Roman" w:cs="Times New Roman"/>
          <w:sz w:val="24"/>
          <w:szCs w:val="24"/>
        </w:rPr>
      </w:pPr>
      <w:r w:rsidRPr="004665E0">
        <w:rPr>
          <w:rFonts w:ascii="Times New Roman" w:eastAsia="Calibri" w:hAnsi="Times New Roman" w:cs="Times New Roman"/>
          <w:sz w:val="24"/>
          <w:szCs w:val="24"/>
        </w:rPr>
        <w:t>U nastavku se navode podatci o analizi obavijesti o sumnjivim transakcijama, osobama i sredstvima zaprimljenih od banaka prema opisu načina provođenja i svrsi (namjeni) transakcije. Analizom su obuhvaćeni obrasci putem koji su banke prijavile sumnjive transakcije (</w:t>
      </w:r>
      <w:r>
        <w:rPr>
          <w:rFonts w:ascii="Times New Roman" w:eastAsia="Calibri" w:hAnsi="Times New Roman" w:cs="Times New Roman"/>
          <w:sz w:val="24"/>
          <w:szCs w:val="24"/>
        </w:rPr>
        <w:t xml:space="preserve">1197 </w:t>
      </w:r>
      <w:r w:rsidRPr="004665E0">
        <w:rPr>
          <w:rFonts w:ascii="Times New Roman" w:eastAsia="Calibri" w:hAnsi="Times New Roman" w:cs="Times New Roman"/>
          <w:sz w:val="24"/>
          <w:szCs w:val="24"/>
        </w:rPr>
        <w:t>transakcija od ukupno 2</w:t>
      </w:r>
      <w:r>
        <w:rPr>
          <w:rFonts w:ascii="Times New Roman" w:eastAsia="Calibri" w:hAnsi="Times New Roman" w:cs="Times New Roman"/>
          <w:sz w:val="24"/>
          <w:szCs w:val="24"/>
        </w:rPr>
        <w:t>747</w:t>
      </w:r>
      <w:r w:rsidRPr="004665E0">
        <w:rPr>
          <w:rFonts w:ascii="Times New Roman" w:eastAsia="Calibri" w:hAnsi="Times New Roman" w:cs="Times New Roman"/>
          <w:sz w:val="24"/>
          <w:szCs w:val="24"/>
        </w:rPr>
        <w:t xml:space="preserve"> zaprimljenih obavijesti od banaka) iz razloga što sukladno Uputi o načinu popunjavanja obrasca za obavještavanje Ureda za sprječavanje pranja novca o sumnjivim transakcijama, sredstvima i osobama a koja je sastavni dio </w:t>
      </w:r>
      <w:hyperlink r:id="rId20" w:history="1">
        <w:r w:rsidRPr="004665E0">
          <w:rPr>
            <w:rFonts w:ascii="Times New Roman" w:eastAsia="Calibri" w:hAnsi="Times New Roman" w:cs="Times New Roman"/>
            <w:sz w:val="24"/>
            <w:szCs w:val="24"/>
          </w:rPr>
          <w:t>Pravilnika o obavještavanju Ureda za sprječavanje pranja novca o sumnjivim transakcijama, sredstvima i osobama („Narodne novine“ br. 1/19)</w:t>
        </w:r>
      </w:hyperlink>
      <w:r w:rsidRPr="004665E0">
        <w:rPr>
          <w:rFonts w:ascii="Times New Roman" w:eastAsia="Calibri" w:hAnsi="Times New Roman" w:cs="Times New Roman"/>
          <w:sz w:val="24"/>
          <w:szCs w:val="24"/>
        </w:rPr>
        <w:t>, banke i drugi obveznici nisu dužni popunjavati te podatke ukoliko se putem obrasca prijavljuju sumnjiva sredstava.</w:t>
      </w:r>
    </w:p>
    <w:p w14:paraId="46A70C9D" w14:textId="77777777" w:rsidR="00863EF0" w:rsidRPr="00D56722" w:rsidRDefault="00863EF0" w:rsidP="00863EF0">
      <w:pPr>
        <w:spacing w:after="0" w:line="240" w:lineRule="auto"/>
        <w:jc w:val="both"/>
        <w:rPr>
          <w:rFonts w:ascii="Times New Roman" w:eastAsia="Calibri" w:hAnsi="Times New Roman" w:cs="Times New Roman"/>
          <w:sz w:val="24"/>
          <w:szCs w:val="24"/>
        </w:rPr>
      </w:pPr>
    </w:p>
    <w:p w14:paraId="119BC246" w14:textId="52306AD6" w:rsidR="00863EF0" w:rsidRDefault="00863EF0" w:rsidP="00863EF0">
      <w:pPr>
        <w:spacing w:after="0" w:line="240" w:lineRule="auto"/>
        <w:ind w:right="-128"/>
        <w:jc w:val="both"/>
        <w:rPr>
          <w:rFonts w:ascii="Times New Roman" w:eastAsia="Calibri" w:hAnsi="Times New Roman" w:cs="Times New Roman"/>
          <w:sz w:val="24"/>
          <w:szCs w:val="24"/>
        </w:rPr>
      </w:pPr>
      <w:r w:rsidRPr="004665E0">
        <w:rPr>
          <w:rFonts w:ascii="Times New Roman" w:eastAsia="Calibri" w:hAnsi="Times New Roman" w:cs="Times New Roman"/>
          <w:sz w:val="24"/>
          <w:szCs w:val="24"/>
        </w:rPr>
        <w:t xml:space="preserve">U </w:t>
      </w:r>
      <w:r>
        <w:rPr>
          <w:rFonts w:ascii="Times New Roman" w:eastAsia="Calibri" w:hAnsi="Times New Roman" w:cs="Times New Roman"/>
          <w:sz w:val="24"/>
          <w:szCs w:val="24"/>
        </w:rPr>
        <w:t>G</w:t>
      </w:r>
      <w:r w:rsidRPr="004665E0">
        <w:rPr>
          <w:rFonts w:ascii="Times New Roman" w:eastAsia="Calibri" w:hAnsi="Times New Roman" w:cs="Times New Roman"/>
          <w:sz w:val="24"/>
          <w:szCs w:val="24"/>
        </w:rPr>
        <w:t xml:space="preserve">rafikonu </w:t>
      </w:r>
      <w:r w:rsidR="008154A4">
        <w:rPr>
          <w:rFonts w:ascii="Times New Roman" w:eastAsia="Calibri" w:hAnsi="Times New Roman" w:cs="Times New Roman"/>
          <w:sz w:val="24"/>
          <w:szCs w:val="24"/>
        </w:rPr>
        <w:t>5</w:t>
      </w:r>
      <w:r>
        <w:rPr>
          <w:rFonts w:ascii="Times New Roman" w:eastAsia="Calibri" w:hAnsi="Times New Roman" w:cs="Times New Roman"/>
          <w:sz w:val="24"/>
          <w:szCs w:val="24"/>
        </w:rPr>
        <w:t>.</w:t>
      </w:r>
      <w:r w:rsidRPr="004665E0">
        <w:rPr>
          <w:rFonts w:ascii="Times New Roman" w:eastAsia="Calibri" w:hAnsi="Times New Roman" w:cs="Times New Roman"/>
          <w:sz w:val="24"/>
          <w:szCs w:val="24"/>
        </w:rPr>
        <w:t xml:space="preserve"> prikazan je broj i struktura obavijesti o sumnjivim transakcijama zaprimljenih u 202</w:t>
      </w:r>
      <w:r>
        <w:rPr>
          <w:rFonts w:ascii="Times New Roman" w:eastAsia="Calibri" w:hAnsi="Times New Roman" w:cs="Times New Roman"/>
          <w:sz w:val="24"/>
          <w:szCs w:val="24"/>
        </w:rPr>
        <w:t>2</w:t>
      </w:r>
      <w:r w:rsidRPr="004665E0">
        <w:rPr>
          <w:rFonts w:ascii="Times New Roman" w:eastAsia="Calibri" w:hAnsi="Times New Roman" w:cs="Times New Roman"/>
          <w:sz w:val="24"/>
          <w:szCs w:val="24"/>
        </w:rPr>
        <w:t>. od banaka (ukupno 1</w:t>
      </w:r>
      <w:r>
        <w:rPr>
          <w:rFonts w:ascii="Times New Roman" w:eastAsia="Calibri" w:hAnsi="Times New Roman" w:cs="Times New Roman"/>
          <w:sz w:val="24"/>
          <w:szCs w:val="24"/>
        </w:rPr>
        <w:t>197</w:t>
      </w:r>
      <w:r w:rsidRPr="004665E0">
        <w:rPr>
          <w:rFonts w:ascii="Times New Roman" w:eastAsia="Calibri" w:hAnsi="Times New Roman" w:cs="Times New Roman"/>
          <w:sz w:val="24"/>
          <w:szCs w:val="24"/>
        </w:rPr>
        <w:t xml:space="preserve">) prema opisu načina provođenja transakcije. </w:t>
      </w:r>
    </w:p>
    <w:p w14:paraId="1F78A5BD" w14:textId="2D184F7E" w:rsidR="00863EF0" w:rsidRDefault="00863EF0" w:rsidP="00863EF0">
      <w:pPr>
        <w:spacing w:after="0" w:line="240" w:lineRule="auto"/>
        <w:ind w:right="-128"/>
        <w:jc w:val="both"/>
        <w:rPr>
          <w:rFonts w:ascii="Times New Roman" w:eastAsia="Calibri" w:hAnsi="Times New Roman" w:cs="Times New Roman"/>
          <w:sz w:val="24"/>
          <w:szCs w:val="24"/>
        </w:rPr>
      </w:pPr>
    </w:p>
    <w:p w14:paraId="18AE72F6" w14:textId="5DE99738" w:rsidR="002118EE" w:rsidRDefault="002118EE" w:rsidP="00863EF0">
      <w:pPr>
        <w:spacing w:after="0" w:line="240" w:lineRule="auto"/>
        <w:ind w:right="-128"/>
        <w:jc w:val="both"/>
        <w:rPr>
          <w:rFonts w:ascii="Times New Roman" w:eastAsia="Calibri" w:hAnsi="Times New Roman" w:cs="Times New Roman"/>
          <w:sz w:val="24"/>
          <w:szCs w:val="24"/>
        </w:rPr>
      </w:pPr>
    </w:p>
    <w:p w14:paraId="655B1C2E" w14:textId="2C17E124" w:rsidR="008935FE" w:rsidRDefault="008935FE" w:rsidP="00863EF0">
      <w:pPr>
        <w:spacing w:after="0" w:line="240" w:lineRule="auto"/>
        <w:ind w:right="-128"/>
        <w:jc w:val="both"/>
        <w:rPr>
          <w:rFonts w:ascii="Times New Roman" w:eastAsia="Calibri" w:hAnsi="Times New Roman" w:cs="Times New Roman"/>
          <w:sz w:val="24"/>
          <w:szCs w:val="24"/>
        </w:rPr>
      </w:pPr>
    </w:p>
    <w:p w14:paraId="2B24FF24" w14:textId="0AF289CA" w:rsidR="008935FE" w:rsidRDefault="008935FE" w:rsidP="00863EF0">
      <w:pPr>
        <w:spacing w:after="0" w:line="240" w:lineRule="auto"/>
        <w:ind w:right="-128"/>
        <w:jc w:val="both"/>
        <w:rPr>
          <w:rFonts w:ascii="Times New Roman" w:eastAsia="Calibri" w:hAnsi="Times New Roman" w:cs="Times New Roman"/>
          <w:sz w:val="24"/>
          <w:szCs w:val="24"/>
        </w:rPr>
      </w:pPr>
    </w:p>
    <w:p w14:paraId="159CCFD8" w14:textId="77777777" w:rsidR="008935FE" w:rsidRDefault="008935FE" w:rsidP="00863EF0">
      <w:pPr>
        <w:spacing w:after="0" w:line="240" w:lineRule="auto"/>
        <w:ind w:right="-128"/>
        <w:jc w:val="both"/>
        <w:rPr>
          <w:rFonts w:ascii="Times New Roman" w:eastAsia="Calibri" w:hAnsi="Times New Roman" w:cs="Times New Roman"/>
          <w:sz w:val="24"/>
          <w:szCs w:val="24"/>
        </w:rPr>
      </w:pPr>
    </w:p>
    <w:p w14:paraId="727B00E0" w14:textId="232F8A78" w:rsidR="00863EF0" w:rsidRPr="00863EF0" w:rsidRDefault="00863EF0" w:rsidP="00863EF0">
      <w:pPr>
        <w:rPr>
          <w:rFonts w:ascii="Times New Roman" w:eastAsia="Calibri" w:hAnsi="Times New Roman" w:cs="Times New Roman"/>
          <w:sz w:val="24"/>
          <w:szCs w:val="24"/>
        </w:rPr>
      </w:pPr>
      <w:r w:rsidRPr="00863EF0">
        <w:rPr>
          <w:rFonts w:ascii="Times New Roman" w:eastAsia="Calibri" w:hAnsi="Times New Roman" w:cs="Times New Roman"/>
          <w:sz w:val="24"/>
          <w:szCs w:val="24"/>
        </w:rPr>
        <w:lastRenderedPageBreak/>
        <w:t xml:space="preserve">Grafikon </w:t>
      </w:r>
      <w:r w:rsidR="008154A4">
        <w:rPr>
          <w:rFonts w:ascii="Times New Roman" w:eastAsia="Calibri" w:hAnsi="Times New Roman" w:cs="Times New Roman"/>
          <w:sz w:val="24"/>
          <w:szCs w:val="24"/>
        </w:rPr>
        <w:t>5</w:t>
      </w:r>
      <w:r w:rsidRPr="00863EF0">
        <w:rPr>
          <w:rFonts w:ascii="Times New Roman" w:eastAsia="Calibri" w:hAnsi="Times New Roman" w:cs="Times New Roman"/>
          <w:sz w:val="24"/>
          <w:szCs w:val="24"/>
        </w:rPr>
        <w:t>.</w:t>
      </w:r>
    </w:p>
    <w:p w14:paraId="73DD7A92" w14:textId="77777777" w:rsidR="00863EF0" w:rsidRPr="004665E0" w:rsidRDefault="00863EF0" w:rsidP="00863EF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noProof/>
          <w:sz w:val="24"/>
          <w:szCs w:val="24"/>
          <w:lang w:eastAsia="hr-HR"/>
        </w:rPr>
        <w:drawing>
          <wp:inline distT="0" distB="0" distL="0" distR="0" wp14:anchorId="1F4B20D9" wp14:editId="2037F6BB">
            <wp:extent cx="3837528" cy="2106295"/>
            <wp:effectExtent l="0" t="0" r="0" b="8255"/>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48924" cy="2112550"/>
                    </a:xfrm>
                    <a:prstGeom prst="rect">
                      <a:avLst/>
                    </a:prstGeom>
                    <a:noFill/>
                  </pic:spPr>
                </pic:pic>
              </a:graphicData>
            </a:graphic>
          </wp:inline>
        </w:drawing>
      </w:r>
    </w:p>
    <w:p w14:paraId="12B43425" w14:textId="77777777" w:rsidR="00863EF0" w:rsidRPr="004665E0" w:rsidRDefault="00863EF0" w:rsidP="00863EF0">
      <w:pPr>
        <w:autoSpaceDE w:val="0"/>
        <w:autoSpaceDN w:val="0"/>
        <w:adjustRightInd w:val="0"/>
        <w:spacing w:after="0" w:line="240" w:lineRule="auto"/>
        <w:rPr>
          <w:rFonts w:ascii="Times New Roman" w:hAnsi="Times New Roman" w:cs="Times New Roman"/>
          <w:b/>
          <w:sz w:val="24"/>
          <w:szCs w:val="24"/>
        </w:rPr>
      </w:pPr>
    </w:p>
    <w:p w14:paraId="264121B8" w14:textId="77777777" w:rsidR="00863EF0" w:rsidRPr="004665E0" w:rsidRDefault="00863EF0" w:rsidP="00863EF0">
      <w:pPr>
        <w:autoSpaceDE w:val="0"/>
        <w:autoSpaceDN w:val="0"/>
        <w:adjustRightInd w:val="0"/>
        <w:spacing w:after="0" w:line="240" w:lineRule="auto"/>
        <w:jc w:val="both"/>
        <w:rPr>
          <w:rFonts w:ascii="Times New Roman" w:eastAsia="Times New Roman" w:hAnsi="Times New Roman" w:cs="Times New Roman"/>
          <w:b/>
          <w:bCs/>
          <w:sz w:val="24"/>
          <w:szCs w:val="24"/>
          <w:highlight w:val="red"/>
          <w:lang w:eastAsia="hr-HR"/>
        </w:rPr>
      </w:pPr>
      <w:r w:rsidRPr="004665E0">
        <w:rPr>
          <w:rFonts w:ascii="Times New Roman" w:hAnsi="Times New Roman" w:cs="Times New Roman"/>
          <w:b/>
          <w:sz w:val="24"/>
          <w:szCs w:val="24"/>
        </w:rPr>
        <w:t>Podatci o broju obavijesti o sumnjivim transakcijama zaprimljenih od banaka u 202</w:t>
      </w:r>
      <w:r>
        <w:rPr>
          <w:rFonts w:ascii="Times New Roman" w:hAnsi="Times New Roman" w:cs="Times New Roman"/>
          <w:b/>
          <w:sz w:val="24"/>
          <w:szCs w:val="24"/>
        </w:rPr>
        <w:t>2</w:t>
      </w:r>
      <w:r w:rsidRPr="004665E0">
        <w:rPr>
          <w:rFonts w:ascii="Times New Roman" w:hAnsi="Times New Roman" w:cs="Times New Roman"/>
          <w:b/>
          <w:sz w:val="24"/>
          <w:szCs w:val="24"/>
        </w:rPr>
        <w:t>. prema opisu svrhe (namjene) transakcije</w:t>
      </w:r>
    </w:p>
    <w:p w14:paraId="2BB7651D" w14:textId="77777777" w:rsidR="00863EF0" w:rsidRPr="004665E0" w:rsidRDefault="00863EF0" w:rsidP="00863EF0">
      <w:pPr>
        <w:autoSpaceDE w:val="0"/>
        <w:autoSpaceDN w:val="0"/>
        <w:adjustRightInd w:val="0"/>
        <w:spacing w:after="0" w:line="240" w:lineRule="auto"/>
        <w:jc w:val="both"/>
        <w:rPr>
          <w:rFonts w:ascii="Times New Roman" w:eastAsia="Calibri" w:hAnsi="Times New Roman" w:cs="Times New Roman"/>
          <w:b/>
          <w:sz w:val="24"/>
          <w:szCs w:val="24"/>
          <w:highlight w:val="red"/>
        </w:rPr>
      </w:pPr>
    </w:p>
    <w:p w14:paraId="35AED823" w14:textId="4CA078BE" w:rsidR="00863EF0" w:rsidRPr="00274B0D" w:rsidRDefault="00863EF0" w:rsidP="00863EF0">
      <w:pPr>
        <w:spacing w:after="0" w:line="0" w:lineRule="atLeast"/>
        <w:jc w:val="both"/>
        <w:rPr>
          <w:rFonts w:ascii="Times New Roman" w:eastAsia="Times New Roman" w:hAnsi="Times New Roman" w:cs="Times New Roman"/>
          <w:sz w:val="24"/>
          <w:szCs w:val="24"/>
          <w:lang w:eastAsia="hr-HR"/>
        </w:rPr>
      </w:pPr>
      <w:r w:rsidRPr="00274B0D">
        <w:rPr>
          <w:rFonts w:ascii="Times New Roman" w:eastAsia="Times New Roman" w:hAnsi="Times New Roman" w:cs="Times New Roman"/>
          <w:sz w:val="24"/>
          <w:szCs w:val="24"/>
          <w:lang w:eastAsia="hr-HR"/>
        </w:rPr>
        <w:t>U tablici 1</w:t>
      </w:r>
      <w:r>
        <w:rPr>
          <w:rFonts w:ascii="Times New Roman" w:eastAsia="Times New Roman" w:hAnsi="Times New Roman" w:cs="Times New Roman"/>
          <w:sz w:val="24"/>
          <w:szCs w:val="24"/>
          <w:lang w:eastAsia="hr-HR"/>
        </w:rPr>
        <w:t>7</w:t>
      </w:r>
      <w:r w:rsidRPr="00274B0D">
        <w:rPr>
          <w:rFonts w:ascii="Times New Roman" w:eastAsia="Times New Roman" w:hAnsi="Times New Roman" w:cs="Times New Roman"/>
          <w:sz w:val="24"/>
          <w:szCs w:val="24"/>
          <w:lang w:eastAsia="hr-HR"/>
        </w:rPr>
        <w:t>. prikazan je broj i struktura sumnjivih transakcija zaprimljenih od banaka u 202</w:t>
      </w:r>
      <w:r>
        <w:rPr>
          <w:rFonts w:ascii="Times New Roman" w:eastAsia="Times New Roman" w:hAnsi="Times New Roman" w:cs="Times New Roman"/>
          <w:sz w:val="24"/>
          <w:szCs w:val="24"/>
          <w:lang w:eastAsia="hr-HR"/>
        </w:rPr>
        <w:t>2</w:t>
      </w:r>
      <w:r w:rsidRPr="00274B0D">
        <w:rPr>
          <w:rFonts w:ascii="Times New Roman" w:eastAsia="Times New Roman" w:hAnsi="Times New Roman" w:cs="Times New Roman"/>
          <w:sz w:val="24"/>
          <w:szCs w:val="24"/>
          <w:lang w:eastAsia="hr-HR"/>
        </w:rPr>
        <w:t>. prema opisu svrhe (namjene) transakcije. U Tablici 1</w:t>
      </w:r>
      <w:r w:rsidR="009641B8">
        <w:rPr>
          <w:rFonts w:ascii="Times New Roman" w:eastAsia="Times New Roman" w:hAnsi="Times New Roman" w:cs="Times New Roman"/>
          <w:sz w:val="24"/>
          <w:szCs w:val="24"/>
          <w:lang w:eastAsia="hr-HR"/>
        </w:rPr>
        <w:t>7</w:t>
      </w:r>
      <w:r w:rsidRPr="00274B0D">
        <w:rPr>
          <w:rFonts w:ascii="Times New Roman" w:eastAsia="Times New Roman" w:hAnsi="Times New Roman" w:cs="Times New Roman"/>
          <w:sz w:val="24"/>
          <w:szCs w:val="24"/>
          <w:lang w:eastAsia="hr-HR"/>
        </w:rPr>
        <w:t>. vidljivo je da su od ukupnog broja sumnjivih transakcija u 202</w:t>
      </w:r>
      <w:r>
        <w:rPr>
          <w:rFonts w:ascii="Times New Roman" w:eastAsia="Times New Roman" w:hAnsi="Times New Roman" w:cs="Times New Roman"/>
          <w:sz w:val="24"/>
          <w:szCs w:val="24"/>
          <w:lang w:eastAsia="hr-HR"/>
        </w:rPr>
        <w:t>2</w:t>
      </w:r>
      <w:r w:rsidRPr="00274B0D">
        <w:rPr>
          <w:rFonts w:ascii="Times New Roman" w:eastAsia="Times New Roman" w:hAnsi="Times New Roman" w:cs="Times New Roman"/>
          <w:sz w:val="24"/>
          <w:szCs w:val="24"/>
          <w:lang w:eastAsia="hr-HR"/>
        </w:rPr>
        <w:t>. koje su zaprimljene od banaka (1</w:t>
      </w:r>
      <w:r>
        <w:rPr>
          <w:rFonts w:ascii="Times New Roman" w:eastAsia="Times New Roman" w:hAnsi="Times New Roman" w:cs="Times New Roman"/>
          <w:sz w:val="24"/>
          <w:szCs w:val="24"/>
          <w:lang w:eastAsia="hr-HR"/>
        </w:rPr>
        <w:t>197), za 24</w:t>
      </w:r>
      <w:r w:rsidRPr="00274B0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14</w:t>
      </w:r>
      <w:r w:rsidRPr="00274B0D">
        <w:rPr>
          <w:rFonts w:ascii="Times New Roman" w:eastAsia="Times New Roman" w:hAnsi="Times New Roman" w:cs="Times New Roman"/>
          <w:sz w:val="24"/>
          <w:szCs w:val="24"/>
          <w:lang w:eastAsia="hr-HR"/>
        </w:rPr>
        <w:t>% sumnjivih transakcija (</w:t>
      </w:r>
      <w:r>
        <w:rPr>
          <w:rFonts w:ascii="Times New Roman" w:eastAsia="Times New Roman" w:hAnsi="Times New Roman" w:cs="Times New Roman"/>
          <w:sz w:val="24"/>
          <w:szCs w:val="24"/>
          <w:lang w:eastAsia="hr-HR"/>
        </w:rPr>
        <w:t>289</w:t>
      </w:r>
      <w:r w:rsidRPr="00274B0D">
        <w:rPr>
          <w:rFonts w:ascii="Times New Roman" w:eastAsia="Times New Roman" w:hAnsi="Times New Roman" w:cs="Times New Roman"/>
          <w:sz w:val="24"/>
          <w:szCs w:val="24"/>
          <w:lang w:eastAsia="hr-HR"/>
        </w:rPr>
        <w:t xml:space="preserve"> transakcija) banke navele da je svrha (namjena) provođenja transakcije pozajmica, za 2</w:t>
      </w:r>
      <w:r>
        <w:rPr>
          <w:rFonts w:ascii="Times New Roman" w:eastAsia="Times New Roman" w:hAnsi="Times New Roman" w:cs="Times New Roman"/>
          <w:sz w:val="24"/>
          <w:szCs w:val="24"/>
          <w:lang w:eastAsia="hr-HR"/>
        </w:rPr>
        <w:t>5</w:t>
      </w:r>
      <w:r w:rsidRPr="00274B0D">
        <w:rPr>
          <w:rFonts w:ascii="Times New Roman" w:eastAsia="Times New Roman" w:hAnsi="Times New Roman" w:cs="Times New Roman"/>
          <w:sz w:val="24"/>
          <w:szCs w:val="24"/>
          <w:lang w:eastAsia="hr-HR"/>
        </w:rPr>
        <w:t>7 transakcija (</w:t>
      </w:r>
      <w:r>
        <w:rPr>
          <w:rFonts w:ascii="Times New Roman" w:eastAsia="Times New Roman" w:hAnsi="Times New Roman" w:cs="Times New Roman"/>
          <w:sz w:val="24"/>
          <w:szCs w:val="24"/>
          <w:lang w:eastAsia="hr-HR"/>
        </w:rPr>
        <w:t>21</w:t>
      </w:r>
      <w:r w:rsidRPr="00274B0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47%) roba, a za 212</w:t>
      </w:r>
      <w:r w:rsidRPr="00274B0D">
        <w:rPr>
          <w:rFonts w:ascii="Times New Roman" w:eastAsia="Times New Roman" w:hAnsi="Times New Roman" w:cs="Times New Roman"/>
          <w:sz w:val="24"/>
          <w:szCs w:val="24"/>
          <w:lang w:eastAsia="hr-HR"/>
        </w:rPr>
        <w:t xml:space="preserve"> transakcije usluge (1</w:t>
      </w:r>
      <w:r>
        <w:rPr>
          <w:rFonts w:ascii="Times New Roman" w:eastAsia="Times New Roman" w:hAnsi="Times New Roman" w:cs="Times New Roman"/>
          <w:sz w:val="24"/>
          <w:szCs w:val="24"/>
          <w:lang w:eastAsia="hr-HR"/>
        </w:rPr>
        <w:t>7</w:t>
      </w:r>
      <w:r w:rsidRPr="00274B0D">
        <w:rPr>
          <w:rFonts w:ascii="Times New Roman" w:eastAsia="Times New Roman" w:hAnsi="Times New Roman" w:cs="Times New Roman"/>
          <w:sz w:val="24"/>
          <w:szCs w:val="24"/>
          <w:lang w:eastAsia="hr-HR"/>
        </w:rPr>
        <w:t>,7</w:t>
      </w:r>
      <w:r>
        <w:rPr>
          <w:rFonts w:ascii="Times New Roman" w:eastAsia="Times New Roman" w:hAnsi="Times New Roman" w:cs="Times New Roman"/>
          <w:sz w:val="24"/>
          <w:szCs w:val="24"/>
          <w:lang w:eastAsia="hr-HR"/>
        </w:rPr>
        <w:t>1</w:t>
      </w:r>
      <w:r w:rsidRPr="00274B0D">
        <w:rPr>
          <w:rFonts w:ascii="Times New Roman" w:eastAsia="Times New Roman" w:hAnsi="Times New Roman" w:cs="Times New Roman"/>
          <w:sz w:val="24"/>
          <w:szCs w:val="24"/>
          <w:lang w:eastAsia="hr-HR"/>
        </w:rPr>
        <w:t xml:space="preserve">%). </w:t>
      </w:r>
    </w:p>
    <w:p w14:paraId="0FA67EF3" w14:textId="77777777" w:rsidR="00863EF0" w:rsidRDefault="00863EF0" w:rsidP="00863EF0">
      <w:pPr>
        <w:spacing w:after="0" w:line="240" w:lineRule="auto"/>
        <w:jc w:val="both"/>
        <w:rPr>
          <w:rFonts w:ascii="Times New Roman" w:eastAsia="Calibri" w:hAnsi="Times New Roman" w:cs="Times New Roman"/>
          <w:sz w:val="24"/>
          <w:szCs w:val="24"/>
        </w:rPr>
      </w:pPr>
    </w:p>
    <w:p w14:paraId="7DA3AE0F" w14:textId="587F6BDC" w:rsidR="00863EF0" w:rsidRPr="00863EF0" w:rsidRDefault="00863EF0" w:rsidP="00863EF0">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863EF0">
        <w:rPr>
          <w:rFonts w:ascii="Times New Roman" w:eastAsia="Times New Roman" w:hAnsi="Times New Roman" w:cs="Times New Roman"/>
          <w:bCs/>
          <w:sz w:val="24"/>
          <w:szCs w:val="24"/>
          <w:lang w:eastAsia="hr-HR"/>
        </w:rPr>
        <w:t>Tablica 17. Broj i struktura sumnjivih transakcija zaprimljenih od banaka u 2022. prema opisu svrhe (namjene) transakcije</w:t>
      </w:r>
    </w:p>
    <w:tbl>
      <w:tblPr>
        <w:tblW w:w="7230" w:type="dxa"/>
        <w:tblInd w:w="-5" w:type="dxa"/>
        <w:tblLayout w:type="fixed"/>
        <w:tblLook w:val="04A0" w:firstRow="1" w:lastRow="0" w:firstColumn="1" w:lastColumn="0" w:noHBand="0" w:noVBand="1"/>
      </w:tblPr>
      <w:tblGrid>
        <w:gridCol w:w="3398"/>
        <w:gridCol w:w="994"/>
        <w:gridCol w:w="995"/>
        <w:gridCol w:w="850"/>
        <w:gridCol w:w="993"/>
      </w:tblGrid>
      <w:tr w:rsidR="00863EF0" w:rsidRPr="00375117" w14:paraId="12E63F05" w14:textId="77777777" w:rsidTr="00863EF0">
        <w:trPr>
          <w:trHeight w:val="305"/>
        </w:trPr>
        <w:tc>
          <w:tcPr>
            <w:tcW w:w="3398" w:type="dxa"/>
            <w:vMerge w:val="restart"/>
            <w:tcBorders>
              <w:top w:val="single" w:sz="4" w:space="0" w:color="auto"/>
              <w:left w:val="single" w:sz="4" w:space="0" w:color="auto"/>
              <w:right w:val="single" w:sz="4" w:space="0" w:color="auto"/>
            </w:tcBorders>
            <w:shd w:val="clear" w:color="000000" w:fill="F2F2F2"/>
            <w:vAlign w:val="center"/>
            <w:hideMark/>
          </w:tcPr>
          <w:p w14:paraId="0B595EBA" w14:textId="77777777" w:rsidR="00863EF0" w:rsidRPr="00375117" w:rsidRDefault="00863EF0" w:rsidP="00863EF0">
            <w:pPr>
              <w:spacing w:after="0" w:line="240" w:lineRule="auto"/>
              <w:jc w:val="center"/>
              <w:rPr>
                <w:rFonts w:ascii="Times New Roman" w:eastAsia="Times New Roman" w:hAnsi="Times New Roman" w:cs="Times New Roman"/>
                <w:b/>
                <w:bCs/>
                <w:color w:val="000000"/>
                <w:sz w:val="20"/>
                <w:szCs w:val="20"/>
                <w:lang w:eastAsia="hr-HR"/>
              </w:rPr>
            </w:pPr>
            <w:r w:rsidRPr="00375117">
              <w:rPr>
                <w:rFonts w:ascii="Times New Roman" w:eastAsia="Times New Roman" w:hAnsi="Times New Roman" w:cs="Times New Roman"/>
                <w:b/>
                <w:bCs/>
                <w:color w:val="000000"/>
                <w:sz w:val="20"/>
                <w:szCs w:val="20"/>
                <w:lang w:eastAsia="hr-HR"/>
              </w:rPr>
              <w:t>svrha (namjena) sumnjive transakcije</w:t>
            </w:r>
          </w:p>
        </w:tc>
        <w:tc>
          <w:tcPr>
            <w:tcW w:w="1989" w:type="dxa"/>
            <w:gridSpan w:val="2"/>
            <w:tcBorders>
              <w:top w:val="single" w:sz="4" w:space="0" w:color="auto"/>
              <w:left w:val="nil"/>
              <w:bottom w:val="single" w:sz="4" w:space="0" w:color="auto"/>
              <w:right w:val="single" w:sz="4" w:space="0" w:color="auto"/>
            </w:tcBorders>
            <w:shd w:val="clear" w:color="000000" w:fill="F2F2F2"/>
            <w:vAlign w:val="center"/>
          </w:tcPr>
          <w:p w14:paraId="7E93CC86" w14:textId="77777777" w:rsidR="00863EF0" w:rsidRPr="00375117" w:rsidRDefault="00863EF0" w:rsidP="00863EF0">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2021.</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tcPr>
          <w:p w14:paraId="071A3169" w14:textId="77777777" w:rsidR="00863EF0" w:rsidRPr="00375117" w:rsidRDefault="00863EF0" w:rsidP="00863EF0">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2022.</w:t>
            </w:r>
          </w:p>
        </w:tc>
      </w:tr>
      <w:tr w:rsidR="00863EF0" w:rsidRPr="00375117" w14:paraId="2AC328B8" w14:textId="77777777" w:rsidTr="00863EF0">
        <w:trPr>
          <w:trHeight w:val="474"/>
        </w:trPr>
        <w:tc>
          <w:tcPr>
            <w:tcW w:w="3398" w:type="dxa"/>
            <w:vMerge/>
            <w:tcBorders>
              <w:top w:val="single" w:sz="4" w:space="0" w:color="auto"/>
              <w:left w:val="single" w:sz="4" w:space="0" w:color="auto"/>
              <w:right w:val="single" w:sz="4" w:space="0" w:color="auto"/>
            </w:tcBorders>
            <w:shd w:val="clear" w:color="000000" w:fill="F2F2F2"/>
            <w:vAlign w:val="center"/>
          </w:tcPr>
          <w:p w14:paraId="260C6D4C" w14:textId="77777777" w:rsidR="00863EF0" w:rsidRPr="00375117" w:rsidRDefault="00863EF0" w:rsidP="00863EF0">
            <w:pPr>
              <w:spacing w:after="0" w:line="240" w:lineRule="auto"/>
              <w:jc w:val="center"/>
              <w:rPr>
                <w:rFonts w:ascii="Times New Roman" w:eastAsia="Times New Roman" w:hAnsi="Times New Roman" w:cs="Times New Roman"/>
                <w:b/>
                <w:bCs/>
                <w:color w:val="000000"/>
                <w:sz w:val="20"/>
                <w:szCs w:val="20"/>
                <w:lang w:eastAsia="hr-HR"/>
              </w:rPr>
            </w:pPr>
          </w:p>
        </w:tc>
        <w:tc>
          <w:tcPr>
            <w:tcW w:w="994" w:type="dxa"/>
            <w:tcBorders>
              <w:top w:val="single" w:sz="4" w:space="0" w:color="auto"/>
              <w:left w:val="nil"/>
              <w:right w:val="single" w:sz="4" w:space="0" w:color="auto"/>
            </w:tcBorders>
            <w:shd w:val="clear" w:color="000000" w:fill="F2F2F2"/>
            <w:vAlign w:val="center"/>
          </w:tcPr>
          <w:p w14:paraId="45C9C537" w14:textId="77777777" w:rsidR="00863EF0" w:rsidRPr="00375117" w:rsidRDefault="00863EF0" w:rsidP="00863EF0">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broj</w:t>
            </w:r>
          </w:p>
        </w:tc>
        <w:tc>
          <w:tcPr>
            <w:tcW w:w="995" w:type="dxa"/>
            <w:tcBorders>
              <w:top w:val="single" w:sz="4" w:space="0" w:color="auto"/>
              <w:left w:val="nil"/>
              <w:right w:val="single" w:sz="4" w:space="0" w:color="auto"/>
            </w:tcBorders>
            <w:shd w:val="clear" w:color="000000" w:fill="F2F2F2"/>
            <w:vAlign w:val="center"/>
          </w:tcPr>
          <w:p w14:paraId="689FA931" w14:textId="77777777" w:rsidR="00863EF0" w:rsidRPr="00375117" w:rsidRDefault="00863EF0" w:rsidP="00863EF0">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w:t>
            </w:r>
          </w:p>
        </w:tc>
        <w:tc>
          <w:tcPr>
            <w:tcW w:w="850" w:type="dxa"/>
            <w:tcBorders>
              <w:top w:val="single" w:sz="4" w:space="0" w:color="auto"/>
              <w:left w:val="single" w:sz="4" w:space="0" w:color="auto"/>
              <w:right w:val="single" w:sz="4" w:space="0" w:color="auto"/>
            </w:tcBorders>
            <w:shd w:val="clear" w:color="000000" w:fill="F2F2F2"/>
            <w:noWrap/>
            <w:vAlign w:val="center"/>
          </w:tcPr>
          <w:p w14:paraId="502AB150" w14:textId="77777777" w:rsidR="00863EF0" w:rsidRPr="00375117" w:rsidRDefault="00863EF0" w:rsidP="00863EF0">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broj</w:t>
            </w:r>
          </w:p>
        </w:tc>
        <w:tc>
          <w:tcPr>
            <w:tcW w:w="993" w:type="dxa"/>
            <w:tcBorders>
              <w:top w:val="single" w:sz="4" w:space="0" w:color="auto"/>
              <w:left w:val="nil"/>
              <w:right w:val="single" w:sz="4" w:space="0" w:color="auto"/>
            </w:tcBorders>
            <w:shd w:val="clear" w:color="000000" w:fill="F2F2F2"/>
            <w:noWrap/>
            <w:vAlign w:val="center"/>
          </w:tcPr>
          <w:p w14:paraId="10E13537" w14:textId="77777777" w:rsidR="00863EF0" w:rsidRPr="00375117" w:rsidRDefault="00863EF0" w:rsidP="00863EF0">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w:t>
            </w:r>
          </w:p>
        </w:tc>
      </w:tr>
      <w:tr w:rsidR="00863EF0" w:rsidRPr="00375117" w14:paraId="40AE4560"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1BFDD4FE"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pozajmica</w:t>
            </w:r>
          </w:p>
        </w:tc>
        <w:tc>
          <w:tcPr>
            <w:tcW w:w="994" w:type="dxa"/>
            <w:tcBorders>
              <w:top w:val="nil"/>
              <w:left w:val="nil"/>
              <w:bottom w:val="single" w:sz="4" w:space="0" w:color="auto"/>
              <w:right w:val="single" w:sz="4" w:space="0" w:color="auto"/>
            </w:tcBorders>
            <w:vAlign w:val="center"/>
          </w:tcPr>
          <w:p w14:paraId="73E0C5F3"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eastAsia="Times New Roman" w:hAnsi="Times New Roman" w:cs="Times New Roman"/>
                <w:b/>
                <w:color w:val="000000"/>
                <w:sz w:val="20"/>
                <w:szCs w:val="20"/>
                <w:lang w:eastAsia="hr-HR"/>
              </w:rPr>
              <w:t>329</w:t>
            </w:r>
          </w:p>
        </w:tc>
        <w:tc>
          <w:tcPr>
            <w:tcW w:w="995" w:type="dxa"/>
            <w:tcBorders>
              <w:top w:val="nil"/>
              <w:left w:val="single" w:sz="4" w:space="0" w:color="auto"/>
              <w:bottom w:val="single" w:sz="4" w:space="0" w:color="auto"/>
              <w:right w:val="single" w:sz="4" w:space="0" w:color="auto"/>
            </w:tcBorders>
            <w:vAlign w:val="center"/>
          </w:tcPr>
          <w:p w14:paraId="1116E587"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hAnsi="Times New Roman" w:cs="Times New Roman"/>
                <w:color w:val="000000"/>
                <w:sz w:val="20"/>
                <w:szCs w:val="20"/>
              </w:rPr>
              <w:t>23,07%</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6703566"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289</w:t>
            </w:r>
          </w:p>
        </w:tc>
        <w:tc>
          <w:tcPr>
            <w:tcW w:w="993" w:type="dxa"/>
            <w:tcBorders>
              <w:top w:val="nil"/>
              <w:left w:val="nil"/>
              <w:bottom w:val="single" w:sz="4" w:space="0" w:color="auto"/>
              <w:right w:val="single" w:sz="4" w:space="0" w:color="auto"/>
            </w:tcBorders>
            <w:shd w:val="clear" w:color="auto" w:fill="auto"/>
            <w:noWrap/>
            <w:vAlign w:val="center"/>
            <w:hideMark/>
          </w:tcPr>
          <w:p w14:paraId="09BD5D3B"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24,14%</w:t>
            </w:r>
          </w:p>
        </w:tc>
      </w:tr>
      <w:tr w:rsidR="00863EF0" w:rsidRPr="00375117" w14:paraId="22A63C3D"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78A83C67"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roba</w:t>
            </w:r>
          </w:p>
        </w:tc>
        <w:tc>
          <w:tcPr>
            <w:tcW w:w="994" w:type="dxa"/>
            <w:tcBorders>
              <w:top w:val="nil"/>
              <w:left w:val="nil"/>
              <w:bottom w:val="single" w:sz="4" w:space="0" w:color="auto"/>
              <w:right w:val="single" w:sz="4" w:space="0" w:color="auto"/>
            </w:tcBorders>
            <w:vAlign w:val="center"/>
          </w:tcPr>
          <w:p w14:paraId="69223506"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eastAsia="Times New Roman" w:hAnsi="Times New Roman" w:cs="Times New Roman"/>
                <w:b/>
                <w:color w:val="000000"/>
                <w:sz w:val="20"/>
                <w:szCs w:val="20"/>
                <w:lang w:eastAsia="hr-HR"/>
              </w:rPr>
              <w:t>237</w:t>
            </w:r>
          </w:p>
        </w:tc>
        <w:tc>
          <w:tcPr>
            <w:tcW w:w="995" w:type="dxa"/>
            <w:tcBorders>
              <w:top w:val="nil"/>
              <w:left w:val="single" w:sz="4" w:space="0" w:color="auto"/>
              <w:bottom w:val="single" w:sz="4" w:space="0" w:color="auto"/>
              <w:right w:val="single" w:sz="4" w:space="0" w:color="auto"/>
            </w:tcBorders>
            <w:vAlign w:val="center"/>
          </w:tcPr>
          <w:p w14:paraId="60591FE3"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hAnsi="Times New Roman" w:cs="Times New Roman"/>
                <w:color w:val="000000"/>
                <w:sz w:val="20"/>
                <w:szCs w:val="20"/>
              </w:rPr>
              <w:t>16,62%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6293934"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257</w:t>
            </w:r>
          </w:p>
        </w:tc>
        <w:tc>
          <w:tcPr>
            <w:tcW w:w="993" w:type="dxa"/>
            <w:tcBorders>
              <w:top w:val="nil"/>
              <w:left w:val="nil"/>
              <w:bottom w:val="single" w:sz="4" w:space="0" w:color="auto"/>
              <w:right w:val="single" w:sz="4" w:space="0" w:color="auto"/>
            </w:tcBorders>
            <w:shd w:val="clear" w:color="auto" w:fill="auto"/>
            <w:noWrap/>
            <w:vAlign w:val="center"/>
            <w:hideMark/>
          </w:tcPr>
          <w:p w14:paraId="068475C2"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21,47%</w:t>
            </w:r>
          </w:p>
        </w:tc>
      </w:tr>
      <w:tr w:rsidR="00863EF0" w:rsidRPr="00375117" w14:paraId="33E2DFFD"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5E61C2CE"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usluga</w:t>
            </w:r>
          </w:p>
        </w:tc>
        <w:tc>
          <w:tcPr>
            <w:tcW w:w="994" w:type="dxa"/>
            <w:tcBorders>
              <w:top w:val="nil"/>
              <w:left w:val="nil"/>
              <w:bottom w:val="single" w:sz="4" w:space="0" w:color="auto"/>
              <w:right w:val="single" w:sz="4" w:space="0" w:color="auto"/>
            </w:tcBorders>
            <w:vAlign w:val="center"/>
          </w:tcPr>
          <w:p w14:paraId="677B4016"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eastAsia="Times New Roman" w:hAnsi="Times New Roman" w:cs="Times New Roman"/>
                <w:b/>
                <w:color w:val="000000"/>
                <w:sz w:val="20"/>
                <w:szCs w:val="20"/>
                <w:lang w:eastAsia="hr-HR"/>
              </w:rPr>
              <w:t>182</w:t>
            </w:r>
          </w:p>
        </w:tc>
        <w:tc>
          <w:tcPr>
            <w:tcW w:w="995" w:type="dxa"/>
            <w:tcBorders>
              <w:top w:val="nil"/>
              <w:left w:val="single" w:sz="4" w:space="0" w:color="auto"/>
              <w:bottom w:val="single" w:sz="4" w:space="0" w:color="auto"/>
              <w:right w:val="single" w:sz="4" w:space="0" w:color="auto"/>
            </w:tcBorders>
            <w:vAlign w:val="center"/>
          </w:tcPr>
          <w:p w14:paraId="7E56715E"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hAnsi="Times New Roman" w:cs="Times New Roman"/>
                <w:color w:val="000000"/>
                <w:sz w:val="20"/>
                <w:szCs w:val="20"/>
              </w:rPr>
              <w:t>12,76%</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5481A22"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212</w:t>
            </w:r>
          </w:p>
        </w:tc>
        <w:tc>
          <w:tcPr>
            <w:tcW w:w="993" w:type="dxa"/>
            <w:tcBorders>
              <w:top w:val="nil"/>
              <w:left w:val="nil"/>
              <w:bottom w:val="single" w:sz="4" w:space="0" w:color="auto"/>
              <w:right w:val="single" w:sz="4" w:space="0" w:color="auto"/>
            </w:tcBorders>
            <w:shd w:val="clear" w:color="auto" w:fill="auto"/>
            <w:noWrap/>
            <w:vAlign w:val="center"/>
            <w:hideMark/>
          </w:tcPr>
          <w:p w14:paraId="4A1F7546"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17,71%</w:t>
            </w:r>
          </w:p>
        </w:tc>
      </w:tr>
      <w:tr w:rsidR="00863EF0" w:rsidRPr="00375117" w14:paraId="69E486E4"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21B7B36B"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štednja</w:t>
            </w:r>
          </w:p>
        </w:tc>
        <w:tc>
          <w:tcPr>
            <w:tcW w:w="994" w:type="dxa"/>
            <w:tcBorders>
              <w:top w:val="nil"/>
              <w:left w:val="nil"/>
              <w:bottom w:val="single" w:sz="4" w:space="0" w:color="auto"/>
              <w:right w:val="single" w:sz="4" w:space="0" w:color="auto"/>
            </w:tcBorders>
            <w:vAlign w:val="center"/>
          </w:tcPr>
          <w:p w14:paraId="1F6AE6CA"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eastAsia="Times New Roman" w:hAnsi="Times New Roman" w:cs="Times New Roman"/>
                <w:b/>
                <w:color w:val="000000"/>
                <w:sz w:val="20"/>
                <w:szCs w:val="20"/>
                <w:lang w:eastAsia="hr-HR"/>
              </w:rPr>
              <w:t>83</w:t>
            </w:r>
          </w:p>
        </w:tc>
        <w:tc>
          <w:tcPr>
            <w:tcW w:w="995" w:type="dxa"/>
            <w:tcBorders>
              <w:top w:val="nil"/>
              <w:left w:val="single" w:sz="4" w:space="0" w:color="auto"/>
              <w:bottom w:val="single" w:sz="4" w:space="0" w:color="auto"/>
              <w:right w:val="single" w:sz="4" w:space="0" w:color="auto"/>
            </w:tcBorders>
            <w:vAlign w:val="center"/>
          </w:tcPr>
          <w:p w14:paraId="6324A1D5"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hAnsi="Times New Roman" w:cs="Times New Roman"/>
                <w:color w:val="000000"/>
                <w:sz w:val="20"/>
                <w:szCs w:val="20"/>
              </w:rPr>
              <w:t>5,82%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F61490A"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97</w:t>
            </w:r>
          </w:p>
        </w:tc>
        <w:tc>
          <w:tcPr>
            <w:tcW w:w="993" w:type="dxa"/>
            <w:tcBorders>
              <w:top w:val="nil"/>
              <w:left w:val="nil"/>
              <w:bottom w:val="single" w:sz="4" w:space="0" w:color="auto"/>
              <w:right w:val="single" w:sz="4" w:space="0" w:color="auto"/>
            </w:tcBorders>
            <w:shd w:val="clear" w:color="auto" w:fill="auto"/>
            <w:noWrap/>
            <w:vAlign w:val="center"/>
            <w:hideMark/>
          </w:tcPr>
          <w:p w14:paraId="223BC440"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8,10%</w:t>
            </w:r>
          </w:p>
        </w:tc>
      </w:tr>
      <w:tr w:rsidR="00863EF0" w:rsidRPr="00375117" w14:paraId="2730B978"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7F17C924"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nekretnina</w:t>
            </w:r>
          </w:p>
        </w:tc>
        <w:tc>
          <w:tcPr>
            <w:tcW w:w="994" w:type="dxa"/>
            <w:tcBorders>
              <w:top w:val="nil"/>
              <w:left w:val="nil"/>
              <w:bottom w:val="single" w:sz="4" w:space="0" w:color="auto"/>
              <w:right w:val="single" w:sz="4" w:space="0" w:color="auto"/>
            </w:tcBorders>
            <w:vAlign w:val="center"/>
          </w:tcPr>
          <w:p w14:paraId="4E8C74FF"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eastAsia="Times New Roman" w:hAnsi="Times New Roman" w:cs="Times New Roman"/>
                <w:b/>
                <w:color w:val="000000"/>
                <w:sz w:val="20"/>
                <w:szCs w:val="20"/>
                <w:lang w:eastAsia="hr-HR"/>
              </w:rPr>
              <w:t>74</w:t>
            </w:r>
          </w:p>
        </w:tc>
        <w:tc>
          <w:tcPr>
            <w:tcW w:w="995" w:type="dxa"/>
            <w:tcBorders>
              <w:top w:val="nil"/>
              <w:left w:val="single" w:sz="4" w:space="0" w:color="auto"/>
              <w:bottom w:val="single" w:sz="4" w:space="0" w:color="auto"/>
              <w:right w:val="single" w:sz="4" w:space="0" w:color="auto"/>
            </w:tcBorders>
            <w:vAlign w:val="center"/>
          </w:tcPr>
          <w:p w14:paraId="7D712B7B"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hAnsi="Times New Roman" w:cs="Times New Roman"/>
                <w:color w:val="000000"/>
                <w:sz w:val="20"/>
                <w:szCs w:val="20"/>
              </w:rPr>
              <w:t>5,19%</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99E0D82"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83</w:t>
            </w:r>
          </w:p>
        </w:tc>
        <w:tc>
          <w:tcPr>
            <w:tcW w:w="993" w:type="dxa"/>
            <w:tcBorders>
              <w:top w:val="nil"/>
              <w:left w:val="nil"/>
              <w:bottom w:val="single" w:sz="4" w:space="0" w:color="auto"/>
              <w:right w:val="single" w:sz="4" w:space="0" w:color="auto"/>
            </w:tcBorders>
            <w:shd w:val="clear" w:color="auto" w:fill="auto"/>
            <w:noWrap/>
            <w:vAlign w:val="center"/>
            <w:hideMark/>
          </w:tcPr>
          <w:p w14:paraId="3F792FEF"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6,93%</w:t>
            </w:r>
          </w:p>
        </w:tc>
      </w:tr>
      <w:tr w:rsidR="00863EF0" w:rsidRPr="00375117" w14:paraId="2E77A533"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1347FBAD"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kredit</w:t>
            </w:r>
          </w:p>
        </w:tc>
        <w:tc>
          <w:tcPr>
            <w:tcW w:w="994" w:type="dxa"/>
            <w:tcBorders>
              <w:top w:val="nil"/>
              <w:left w:val="nil"/>
              <w:bottom w:val="single" w:sz="4" w:space="0" w:color="auto"/>
              <w:right w:val="single" w:sz="4" w:space="0" w:color="auto"/>
            </w:tcBorders>
            <w:vAlign w:val="center"/>
          </w:tcPr>
          <w:p w14:paraId="4B8ECF79"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eastAsia="Times New Roman" w:hAnsi="Times New Roman" w:cs="Times New Roman"/>
                <w:b/>
                <w:color w:val="000000"/>
                <w:sz w:val="20"/>
                <w:szCs w:val="20"/>
                <w:lang w:eastAsia="hr-HR"/>
              </w:rPr>
              <w:t>49</w:t>
            </w:r>
          </w:p>
        </w:tc>
        <w:tc>
          <w:tcPr>
            <w:tcW w:w="995" w:type="dxa"/>
            <w:tcBorders>
              <w:top w:val="nil"/>
              <w:left w:val="single" w:sz="4" w:space="0" w:color="auto"/>
              <w:bottom w:val="single" w:sz="4" w:space="0" w:color="auto"/>
              <w:right w:val="single" w:sz="4" w:space="0" w:color="auto"/>
            </w:tcBorders>
            <w:vAlign w:val="center"/>
          </w:tcPr>
          <w:p w14:paraId="40BA3491"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hAnsi="Times New Roman" w:cs="Times New Roman"/>
                <w:color w:val="000000"/>
                <w:sz w:val="20"/>
                <w:szCs w:val="20"/>
              </w:rPr>
              <w:t>3,44%</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27F6FD3"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55</w:t>
            </w:r>
          </w:p>
        </w:tc>
        <w:tc>
          <w:tcPr>
            <w:tcW w:w="993" w:type="dxa"/>
            <w:tcBorders>
              <w:top w:val="nil"/>
              <w:left w:val="nil"/>
              <w:bottom w:val="single" w:sz="4" w:space="0" w:color="auto"/>
              <w:right w:val="single" w:sz="4" w:space="0" w:color="auto"/>
            </w:tcBorders>
            <w:shd w:val="clear" w:color="auto" w:fill="auto"/>
            <w:noWrap/>
            <w:vAlign w:val="center"/>
            <w:hideMark/>
          </w:tcPr>
          <w:p w14:paraId="2DF1C0A1"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4,59%</w:t>
            </w:r>
          </w:p>
        </w:tc>
      </w:tr>
      <w:tr w:rsidR="00863EF0" w:rsidRPr="00375117" w14:paraId="25B0CEE5"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3F095EA8"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n/a</w:t>
            </w:r>
          </w:p>
        </w:tc>
        <w:tc>
          <w:tcPr>
            <w:tcW w:w="994" w:type="dxa"/>
            <w:tcBorders>
              <w:top w:val="nil"/>
              <w:left w:val="nil"/>
              <w:bottom w:val="single" w:sz="4" w:space="0" w:color="auto"/>
              <w:right w:val="single" w:sz="4" w:space="0" w:color="auto"/>
            </w:tcBorders>
            <w:vAlign w:val="center"/>
          </w:tcPr>
          <w:p w14:paraId="658137A8"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eastAsia="Times New Roman" w:hAnsi="Times New Roman" w:cs="Times New Roman"/>
                <w:b/>
                <w:color w:val="000000"/>
                <w:sz w:val="20"/>
                <w:szCs w:val="20"/>
                <w:lang w:eastAsia="hr-HR"/>
              </w:rPr>
              <w:t>148</w:t>
            </w:r>
          </w:p>
        </w:tc>
        <w:tc>
          <w:tcPr>
            <w:tcW w:w="995" w:type="dxa"/>
            <w:tcBorders>
              <w:top w:val="nil"/>
              <w:left w:val="single" w:sz="4" w:space="0" w:color="auto"/>
              <w:bottom w:val="single" w:sz="4" w:space="0" w:color="auto"/>
              <w:right w:val="single" w:sz="4" w:space="0" w:color="auto"/>
            </w:tcBorders>
            <w:vAlign w:val="center"/>
          </w:tcPr>
          <w:p w14:paraId="29412610"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hAnsi="Times New Roman" w:cs="Times New Roman"/>
                <w:color w:val="000000"/>
                <w:sz w:val="20"/>
                <w:szCs w:val="20"/>
              </w:rPr>
              <w:t>10,17%</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35DFB38"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47</w:t>
            </w:r>
          </w:p>
        </w:tc>
        <w:tc>
          <w:tcPr>
            <w:tcW w:w="993" w:type="dxa"/>
            <w:tcBorders>
              <w:top w:val="nil"/>
              <w:left w:val="nil"/>
              <w:bottom w:val="single" w:sz="4" w:space="0" w:color="auto"/>
              <w:right w:val="single" w:sz="4" w:space="0" w:color="auto"/>
            </w:tcBorders>
            <w:shd w:val="clear" w:color="auto" w:fill="auto"/>
            <w:noWrap/>
            <w:vAlign w:val="center"/>
            <w:hideMark/>
          </w:tcPr>
          <w:p w14:paraId="077B7128"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3,93%</w:t>
            </w:r>
          </w:p>
        </w:tc>
      </w:tr>
      <w:tr w:rsidR="00863EF0" w:rsidRPr="00375117" w14:paraId="36807030"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0AFDE5FC"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za potrebe blagajne</w:t>
            </w:r>
          </w:p>
        </w:tc>
        <w:tc>
          <w:tcPr>
            <w:tcW w:w="994" w:type="dxa"/>
            <w:tcBorders>
              <w:top w:val="nil"/>
              <w:left w:val="nil"/>
              <w:bottom w:val="single" w:sz="4" w:space="0" w:color="auto"/>
              <w:right w:val="single" w:sz="4" w:space="0" w:color="auto"/>
            </w:tcBorders>
            <w:vAlign w:val="center"/>
          </w:tcPr>
          <w:p w14:paraId="496CB044"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eastAsia="Times New Roman" w:hAnsi="Times New Roman" w:cs="Times New Roman"/>
                <w:b/>
                <w:color w:val="000000"/>
                <w:sz w:val="20"/>
                <w:szCs w:val="20"/>
                <w:lang w:eastAsia="hr-HR"/>
              </w:rPr>
              <w:t>42</w:t>
            </w:r>
          </w:p>
        </w:tc>
        <w:tc>
          <w:tcPr>
            <w:tcW w:w="995" w:type="dxa"/>
            <w:tcBorders>
              <w:top w:val="nil"/>
              <w:left w:val="single" w:sz="4" w:space="0" w:color="auto"/>
              <w:bottom w:val="single" w:sz="4" w:space="0" w:color="auto"/>
              <w:right w:val="single" w:sz="4" w:space="0" w:color="auto"/>
            </w:tcBorders>
            <w:vAlign w:val="center"/>
          </w:tcPr>
          <w:p w14:paraId="69B2F1A0"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hAnsi="Times New Roman" w:cs="Times New Roman"/>
                <w:color w:val="000000"/>
                <w:sz w:val="20"/>
                <w:szCs w:val="20"/>
              </w:rPr>
              <w:t>2,95%</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0EC6790"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30</w:t>
            </w:r>
          </w:p>
        </w:tc>
        <w:tc>
          <w:tcPr>
            <w:tcW w:w="993" w:type="dxa"/>
            <w:tcBorders>
              <w:top w:val="nil"/>
              <w:left w:val="nil"/>
              <w:bottom w:val="single" w:sz="4" w:space="0" w:color="auto"/>
              <w:right w:val="single" w:sz="4" w:space="0" w:color="auto"/>
            </w:tcBorders>
            <w:shd w:val="clear" w:color="auto" w:fill="auto"/>
            <w:noWrap/>
            <w:vAlign w:val="center"/>
            <w:hideMark/>
          </w:tcPr>
          <w:p w14:paraId="584DAA05"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2,51%</w:t>
            </w:r>
          </w:p>
        </w:tc>
      </w:tr>
      <w:tr w:rsidR="00863EF0" w:rsidRPr="00375117" w14:paraId="069E762E"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785CAA44"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dobit</w:t>
            </w:r>
          </w:p>
        </w:tc>
        <w:tc>
          <w:tcPr>
            <w:tcW w:w="994" w:type="dxa"/>
            <w:tcBorders>
              <w:top w:val="nil"/>
              <w:left w:val="nil"/>
              <w:bottom w:val="single" w:sz="4" w:space="0" w:color="auto"/>
              <w:right w:val="single" w:sz="4" w:space="0" w:color="auto"/>
            </w:tcBorders>
            <w:vAlign w:val="center"/>
          </w:tcPr>
          <w:p w14:paraId="15FCE1D3"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eastAsia="Times New Roman" w:hAnsi="Times New Roman" w:cs="Times New Roman"/>
                <w:b/>
                <w:color w:val="000000"/>
                <w:sz w:val="20"/>
                <w:szCs w:val="20"/>
                <w:lang w:eastAsia="hr-HR"/>
              </w:rPr>
              <w:t>20</w:t>
            </w:r>
          </w:p>
        </w:tc>
        <w:tc>
          <w:tcPr>
            <w:tcW w:w="995" w:type="dxa"/>
            <w:tcBorders>
              <w:top w:val="nil"/>
              <w:left w:val="single" w:sz="4" w:space="0" w:color="auto"/>
              <w:bottom w:val="single" w:sz="4" w:space="0" w:color="auto"/>
              <w:right w:val="single" w:sz="4" w:space="0" w:color="auto"/>
            </w:tcBorders>
            <w:vAlign w:val="center"/>
          </w:tcPr>
          <w:p w14:paraId="21701D84"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hAnsi="Times New Roman" w:cs="Times New Roman"/>
                <w:color w:val="000000"/>
                <w:sz w:val="20"/>
                <w:szCs w:val="20"/>
              </w:rPr>
              <w:t>1,40%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5291DD4"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19</w:t>
            </w:r>
          </w:p>
        </w:tc>
        <w:tc>
          <w:tcPr>
            <w:tcW w:w="993" w:type="dxa"/>
            <w:tcBorders>
              <w:top w:val="nil"/>
              <w:left w:val="nil"/>
              <w:bottom w:val="single" w:sz="4" w:space="0" w:color="auto"/>
              <w:right w:val="single" w:sz="4" w:space="0" w:color="auto"/>
            </w:tcBorders>
            <w:shd w:val="clear" w:color="auto" w:fill="auto"/>
            <w:noWrap/>
            <w:vAlign w:val="center"/>
            <w:hideMark/>
          </w:tcPr>
          <w:p w14:paraId="756A35CA"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1,59%</w:t>
            </w:r>
          </w:p>
        </w:tc>
      </w:tr>
      <w:tr w:rsidR="00863EF0" w:rsidRPr="00375117" w14:paraId="47D5AB11"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0828767D"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pokretnine</w:t>
            </w:r>
          </w:p>
        </w:tc>
        <w:tc>
          <w:tcPr>
            <w:tcW w:w="994" w:type="dxa"/>
            <w:tcBorders>
              <w:top w:val="nil"/>
              <w:left w:val="nil"/>
              <w:bottom w:val="single" w:sz="4" w:space="0" w:color="auto"/>
              <w:right w:val="single" w:sz="4" w:space="0" w:color="auto"/>
            </w:tcBorders>
            <w:vAlign w:val="center"/>
          </w:tcPr>
          <w:p w14:paraId="13566098"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eastAsia="Times New Roman" w:hAnsi="Times New Roman" w:cs="Times New Roman"/>
                <w:b/>
                <w:color w:val="000000"/>
                <w:sz w:val="20"/>
                <w:szCs w:val="20"/>
                <w:lang w:eastAsia="hr-HR"/>
              </w:rPr>
              <w:t>19</w:t>
            </w:r>
          </w:p>
        </w:tc>
        <w:tc>
          <w:tcPr>
            <w:tcW w:w="995" w:type="dxa"/>
            <w:tcBorders>
              <w:top w:val="nil"/>
              <w:left w:val="single" w:sz="4" w:space="0" w:color="auto"/>
              <w:bottom w:val="single" w:sz="4" w:space="0" w:color="auto"/>
              <w:right w:val="single" w:sz="4" w:space="0" w:color="auto"/>
            </w:tcBorders>
            <w:vAlign w:val="center"/>
          </w:tcPr>
          <w:p w14:paraId="73C4701F"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hAnsi="Times New Roman" w:cs="Times New Roman"/>
                <w:color w:val="000000"/>
                <w:sz w:val="20"/>
                <w:szCs w:val="20"/>
              </w:rPr>
              <w:t>1,33%</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20E4B59"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17</w:t>
            </w:r>
          </w:p>
        </w:tc>
        <w:tc>
          <w:tcPr>
            <w:tcW w:w="993" w:type="dxa"/>
            <w:tcBorders>
              <w:top w:val="nil"/>
              <w:left w:val="nil"/>
              <w:bottom w:val="single" w:sz="4" w:space="0" w:color="auto"/>
              <w:right w:val="single" w:sz="4" w:space="0" w:color="auto"/>
            </w:tcBorders>
            <w:shd w:val="clear" w:color="auto" w:fill="auto"/>
            <w:noWrap/>
            <w:vAlign w:val="center"/>
            <w:hideMark/>
          </w:tcPr>
          <w:p w14:paraId="096D795D"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1,42%</w:t>
            </w:r>
          </w:p>
        </w:tc>
      </w:tr>
      <w:tr w:rsidR="00863EF0" w:rsidRPr="00375117" w14:paraId="55D60751"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6B10938C"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udjeli</w:t>
            </w:r>
          </w:p>
        </w:tc>
        <w:tc>
          <w:tcPr>
            <w:tcW w:w="994" w:type="dxa"/>
            <w:tcBorders>
              <w:top w:val="nil"/>
              <w:left w:val="nil"/>
              <w:bottom w:val="single" w:sz="4" w:space="0" w:color="auto"/>
              <w:right w:val="single" w:sz="4" w:space="0" w:color="auto"/>
            </w:tcBorders>
            <w:vAlign w:val="center"/>
          </w:tcPr>
          <w:p w14:paraId="75F96308"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eastAsia="Times New Roman" w:hAnsi="Times New Roman" w:cs="Times New Roman"/>
                <w:b/>
                <w:color w:val="000000"/>
                <w:sz w:val="20"/>
                <w:szCs w:val="20"/>
                <w:lang w:eastAsia="hr-HR"/>
              </w:rPr>
              <w:t>13</w:t>
            </w:r>
          </w:p>
        </w:tc>
        <w:tc>
          <w:tcPr>
            <w:tcW w:w="995" w:type="dxa"/>
            <w:tcBorders>
              <w:top w:val="nil"/>
              <w:left w:val="single" w:sz="4" w:space="0" w:color="auto"/>
              <w:bottom w:val="single" w:sz="4" w:space="0" w:color="auto"/>
              <w:right w:val="single" w:sz="4" w:space="0" w:color="auto"/>
            </w:tcBorders>
            <w:vAlign w:val="center"/>
          </w:tcPr>
          <w:p w14:paraId="7B592FCD"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hAnsi="Times New Roman" w:cs="Times New Roman"/>
                <w:color w:val="000000"/>
                <w:sz w:val="20"/>
                <w:szCs w:val="20"/>
              </w:rPr>
              <w:t>0,91%</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78BBC17"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16</w:t>
            </w:r>
          </w:p>
        </w:tc>
        <w:tc>
          <w:tcPr>
            <w:tcW w:w="993" w:type="dxa"/>
            <w:tcBorders>
              <w:top w:val="nil"/>
              <w:left w:val="nil"/>
              <w:bottom w:val="single" w:sz="4" w:space="0" w:color="auto"/>
              <w:right w:val="single" w:sz="4" w:space="0" w:color="auto"/>
            </w:tcBorders>
            <w:shd w:val="clear" w:color="auto" w:fill="auto"/>
            <w:noWrap/>
            <w:vAlign w:val="center"/>
            <w:hideMark/>
          </w:tcPr>
          <w:p w14:paraId="36BB987F"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1,34%</w:t>
            </w:r>
          </w:p>
        </w:tc>
      </w:tr>
      <w:tr w:rsidR="00863EF0" w:rsidRPr="00375117" w14:paraId="0289CB34"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0EE39DB3"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darovanje</w:t>
            </w:r>
          </w:p>
        </w:tc>
        <w:tc>
          <w:tcPr>
            <w:tcW w:w="994" w:type="dxa"/>
            <w:tcBorders>
              <w:top w:val="nil"/>
              <w:left w:val="nil"/>
              <w:bottom w:val="single" w:sz="4" w:space="0" w:color="auto"/>
              <w:right w:val="single" w:sz="4" w:space="0" w:color="auto"/>
            </w:tcBorders>
            <w:vAlign w:val="center"/>
          </w:tcPr>
          <w:p w14:paraId="4D258563"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eastAsia="Times New Roman" w:hAnsi="Times New Roman" w:cs="Times New Roman"/>
                <w:b/>
                <w:color w:val="000000"/>
                <w:sz w:val="20"/>
                <w:szCs w:val="20"/>
                <w:lang w:eastAsia="hr-HR"/>
              </w:rPr>
              <w:t>7</w:t>
            </w:r>
          </w:p>
        </w:tc>
        <w:tc>
          <w:tcPr>
            <w:tcW w:w="995" w:type="dxa"/>
            <w:tcBorders>
              <w:top w:val="nil"/>
              <w:left w:val="single" w:sz="4" w:space="0" w:color="auto"/>
              <w:bottom w:val="single" w:sz="4" w:space="0" w:color="auto"/>
              <w:right w:val="single" w:sz="4" w:space="0" w:color="auto"/>
            </w:tcBorders>
            <w:vAlign w:val="center"/>
          </w:tcPr>
          <w:p w14:paraId="337B0AFF"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hAnsi="Times New Roman" w:cs="Times New Roman"/>
                <w:color w:val="000000"/>
                <w:sz w:val="20"/>
                <w:szCs w:val="20"/>
              </w:rPr>
              <w:t>0,49%</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2619EEC"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13</w:t>
            </w:r>
          </w:p>
        </w:tc>
        <w:tc>
          <w:tcPr>
            <w:tcW w:w="993" w:type="dxa"/>
            <w:tcBorders>
              <w:top w:val="nil"/>
              <w:left w:val="nil"/>
              <w:bottom w:val="single" w:sz="4" w:space="0" w:color="auto"/>
              <w:right w:val="single" w:sz="4" w:space="0" w:color="auto"/>
            </w:tcBorders>
            <w:shd w:val="clear" w:color="auto" w:fill="auto"/>
            <w:noWrap/>
            <w:vAlign w:val="center"/>
            <w:hideMark/>
          </w:tcPr>
          <w:p w14:paraId="461A85BF"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1,09%</w:t>
            </w:r>
          </w:p>
        </w:tc>
      </w:tr>
      <w:tr w:rsidR="00863EF0" w:rsidRPr="00375117" w14:paraId="5F97285E"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7B45430F"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virtualne valute</w:t>
            </w:r>
          </w:p>
        </w:tc>
        <w:tc>
          <w:tcPr>
            <w:tcW w:w="994" w:type="dxa"/>
            <w:tcBorders>
              <w:top w:val="nil"/>
              <w:left w:val="nil"/>
              <w:bottom w:val="single" w:sz="4" w:space="0" w:color="auto"/>
              <w:right w:val="single" w:sz="4" w:space="0" w:color="auto"/>
            </w:tcBorders>
            <w:vAlign w:val="center"/>
          </w:tcPr>
          <w:p w14:paraId="2B2A86FF"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eastAsia="Times New Roman" w:hAnsi="Times New Roman" w:cs="Times New Roman"/>
                <w:b/>
                <w:color w:val="000000"/>
                <w:sz w:val="20"/>
                <w:szCs w:val="20"/>
                <w:lang w:eastAsia="hr-HR"/>
              </w:rPr>
              <w:t>7</w:t>
            </w:r>
          </w:p>
        </w:tc>
        <w:tc>
          <w:tcPr>
            <w:tcW w:w="995" w:type="dxa"/>
            <w:tcBorders>
              <w:top w:val="nil"/>
              <w:left w:val="single" w:sz="4" w:space="0" w:color="auto"/>
              <w:bottom w:val="single" w:sz="4" w:space="0" w:color="auto"/>
              <w:right w:val="single" w:sz="4" w:space="0" w:color="auto"/>
            </w:tcBorders>
            <w:vAlign w:val="center"/>
          </w:tcPr>
          <w:p w14:paraId="1989A873"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hAnsi="Times New Roman" w:cs="Times New Roman"/>
                <w:color w:val="000000"/>
                <w:sz w:val="20"/>
                <w:szCs w:val="20"/>
              </w:rPr>
              <w:t>0,49%</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1100603"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11</w:t>
            </w:r>
          </w:p>
        </w:tc>
        <w:tc>
          <w:tcPr>
            <w:tcW w:w="993" w:type="dxa"/>
            <w:tcBorders>
              <w:top w:val="nil"/>
              <w:left w:val="nil"/>
              <w:bottom w:val="single" w:sz="4" w:space="0" w:color="auto"/>
              <w:right w:val="single" w:sz="4" w:space="0" w:color="auto"/>
            </w:tcBorders>
            <w:shd w:val="clear" w:color="auto" w:fill="auto"/>
            <w:noWrap/>
            <w:vAlign w:val="center"/>
            <w:hideMark/>
          </w:tcPr>
          <w:p w14:paraId="6EC390CE"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0,92%</w:t>
            </w:r>
          </w:p>
        </w:tc>
      </w:tr>
      <w:tr w:rsidR="00863EF0" w:rsidRPr="00375117" w14:paraId="74DCE22D"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44F48FF7"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naplata potraživanja</w:t>
            </w:r>
          </w:p>
        </w:tc>
        <w:tc>
          <w:tcPr>
            <w:tcW w:w="994" w:type="dxa"/>
            <w:tcBorders>
              <w:top w:val="nil"/>
              <w:left w:val="nil"/>
              <w:bottom w:val="single" w:sz="4" w:space="0" w:color="auto"/>
              <w:right w:val="single" w:sz="4" w:space="0" w:color="auto"/>
            </w:tcBorders>
            <w:vAlign w:val="center"/>
          </w:tcPr>
          <w:p w14:paraId="7543CD32"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eastAsia="Times New Roman" w:hAnsi="Times New Roman" w:cs="Times New Roman"/>
                <w:b/>
                <w:color w:val="000000"/>
                <w:sz w:val="20"/>
                <w:szCs w:val="20"/>
                <w:lang w:eastAsia="hr-HR"/>
              </w:rPr>
              <w:t>5</w:t>
            </w:r>
          </w:p>
        </w:tc>
        <w:tc>
          <w:tcPr>
            <w:tcW w:w="995" w:type="dxa"/>
            <w:tcBorders>
              <w:top w:val="nil"/>
              <w:left w:val="single" w:sz="4" w:space="0" w:color="auto"/>
              <w:bottom w:val="single" w:sz="4" w:space="0" w:color="auto"/>
              <w:right w:val="single" w:sz="4" w:space="0" w:color="auto"/>
            </w:tcBorders>
            <w:vAlign w:val="center"/>
          </w:tcPr>
          <w:p w14:paraId="4523E888"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hAnsi="Times New Roman" w:cs="Times New Roman"/>
                <w:color w:val="000000"/>
                <w:sz w:val="20"/>
                <w:szCs w:val="20"/>
              </w:rPr>
              <w:t>0,35%</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D9C7C81"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9</w:t>
            </w:r>
          </w:p>
        </w:tc>
        <w:tc>
          <w:tcPr>
            <w:tcW w:w="993" w:type="dxa"/>
            <w:tcBorders>
              <w:top w:val="nil"/>
              <w:left w:val="nil"/>
              <w:bottom w:val="single" w:sz="4" w:space="0" w:color="auto"/>
              <w:right w:val="single" w:sz="4" w:space="0" w:color="auto"/>
            </w:tcBorders>
            <w:shd w:val="clear" w:color="auto" w:fill="auto"/>
            <w:noWrap/>
            <w:vAlign w:val="center"/>
            <w:hideMark/>
          </w:tcPr>
          <w:p w14:paraId="47612533"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0,75%</w:t>
            </w:r>
          </w:p>
        </w:tc>
      </w:tr>
      <w:tr w:rsidR="00863EF0" w:rsidRPr="00375117" w14:paraId="4AB65BFA"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58DDD195"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pomoć</w:t>
            </w:r>
          </w:p>
        </w:tc>
        <w:tc>
          <w:tcPr>
            <w:tcW w:w="994" w:type="dxa"/>
            <w:tcBorders>
              <w:top w:val="nil"/>
              <w:left w:val="nil"/>
              <w:bottom w:val="single" w:sz="4" w:space="0" w:color="auto"/>
              <w:right w:val="single" w:sz="4" w:space="0" w:color="auto"/>
            </w:tcBorders>
            <w:vAlign w:val="center"/>
          </w:tcPr>
          <w:p w14:paraId="50BE1712"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eastAsia="Times New Roman" w:hAnsi="Times New Roman" w:cs="Times New Roman"/>
                <w:b/>
                <w:color w:val="000000"/>
                <w:sz w:val="20"/>
                <w:szCs w:val="20"/>
                <w:lang w:eastAsia="hr-HR"/>
              </w:rPr>
              <w:t>26</w:t>
            </w:r>
          </w:p>
        </w:tc>
        <w:tc>
          <w:tcPr>
            <w:tcW w:w="995" w:type="dxa"/>
            <w:tcBorders>
              <w:top w:val="nil"/>
              <w:left w:val="single" w:sz="4" w:space="0" w:color="auto"/>
              <w:bottom w:val="single" w:sz="4" w:space="0" w:color="auto"/>
              <w:right w:val="single" w:sz="4" w:space="0" w:color="auto"/>
            </w:tcBorders>
            <w:vAlign w:val="center"/>
          </w:tcPr>
          <w:p w14:paraId="2787F47E"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hAnsi="Times New Roman" w:cs="Times New Roman"/>
                <w:color w:val="000000"/>
                <w:sz w:val="20"/>
                <w:szCs w:val="20"/>
              </w:rPr>
              <w:t>1,82%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5BB4F48"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8</w:t>
            </w:r>
          </w:p>
        </w:tc>
        <w:tc>
          <w:tcPr>
            <w:tcW w:w="993" w:type="dxa"/>
            <w:tcBorders>
              <w:top w:val="nil"/>
              <w:left w:val="nil"/>
              <w:bottom w:val="single" w:sz="4" w:space="0" w:color="auto"/>
              <w:right w:val="single" w:sz="4" w:space="0" w:color="auto"/>
            </w:tcBorders>
            <w:shd w:val="clear" w:color="auto" w:fill="auto"/>
            <w:noWrap/>
            <w:vAlign w:val="center"/>
            <w:hideMark/>
          </w:tcPr>
          <w:p w14:paraId="1DDD37E7"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0,67%</w:t>
            </w:r>
          </w:p>
        </w:tc>
      </w:tr>
      <w:tr w:rsidR="00863EF0" w:rsidRPr="00375117" w14:paraId="4307AE3C"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50F37576"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asignacija</w:t>
            </w:r>
          </w:p>
        </w:tc>
        <w:tc>
          <w:tcPr>
            <w:tcW w:w="994" w:type="dxa"/>
            <w:tcBorders>
              <w:top w:val="nil"/>
              <w:left w:val="nil"/>
              <w:bottom w:val="single" w:sz="4" w:space="0" w:color="auto"/>
              <w:right w:val="single" w:sz="4" w:space="0" w:color="auto"/>
            </w:tcBorders>
            <w:vAlign w:val="center"/>
          </w:tcPr>
          <w:p w14:paraId="26EE226F"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eastAsia="Times New Roman" w:hAnsi="Times New Roman" w:cs="Times New Roman"/>
                <w:b/>
                <w:color w:val="000000"/>
                <w:sz w:val="20"/>
                <w:szCs w:val="20"/>
                <w:lang w:eastAsia="hr-HR"/>
              </w:rPr>
              <w:t>4</w:t>
            </w:r>
          </w:p>
        </w:tc>
        <w:tc>
          <w:tcPr>
            <w:tcW w:w="995" w:type="dxa"/>
            <w:tcBorders>
              <w:top w:val="nil"/>
              <w:left w:val="single" w:sz="4" w:space="0" w:color="auto"/>
              <w:bottom w:val="single" w:sz="4" w:space="0" w:color="auto"/>
              <w:right w:val="single" w:sz="4" w:space="0" w:color="auto"/>
            </w:tcBorders>
            <w:vAlign w:val="center"/>
          </w:tcPr>
          <w:p w14:paraId="18ABCBC0"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hAnsi="Times New Roman" w:cs="Times New Roman"/>
                <w:color w:val="000000"/>
                <w:sz w:val="20"/>
                <w:szCs w:val="20"/>
              </w:rPr>
              <w:t>0,28%</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1B44CE9"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7</w:t>
            </w:r>
          </w:p>
        </w:tc>
        <w:tc>
          <w:tcPr>
            <w:tcW w:w="993" w:type="dxa"/>
            <w:tcBorders>
              <w:top w:val="nil"/>
              <w:left w:val="nil"/>
              <w:bottom w:val="single" w:sz="4" w:space="0" w:color="auto"/>
              <w:right w:val="single" w:sz="4" w:space="0" w:color="auto"/>
            </w:tcBorders>
            <w:shd w:val="clear" w:color="auto" w:fill="auto"/>
            <w:noWrap/>
            <w:vAlign w:val="center"/>
            <w:hideMark/>
          </w:tcPr>
          <w:p w14:paraId="4CF7370C"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0,58%</w:t>
            </w:r>
          </w:p>
        </w:tc>
      </w:tr>
      <w:tr w:rsidR="00863EF0" w:rsidRPr="00375117" w14:paraId="7624D119"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18B41CB3"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vrijednosni papiri</w:t>
            </w:r>
          </w:p>
        </w:tc>
        <w:tc>
          <w:tcPr>
            <w:tcW w:w="994" w:type="dxa"/>
            <w:tcBorders>
              <w:top w:val="nil"/>
              <w:left w:val="nil"/>
              <w:bottom w:val="single" w:sz="4" w:space="0" w:color="auto"/>
              <w:right w:val="single" w:sz="4" w:space="0" w:color="auto"/>
            </w:tcBorders>
            <w:vAlign w:val="center"/>
          </w:tcPr>
          <w:p w14:paraId="50BDBDE4"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eastAsia="Times New Roman" w:hAnsi="Times New Roman" w:cs="Times New Roman"/>
                <w:b/>
                <w:color w:val="000000"/>
                <w:sz w:val="20"/>
                <w:szCs w:val="20"/>
                <w:lang w:eastAsia="hr-HR"/>
              </w:rPr>
              <w:t>13</w:t>
            </w:r>
          </w:p>
        </w:tc>
        <w:tc>
          <w:tcPr>
            <w:tcW w:w="995" w:type="dxa"/>
            <w:tcBorders>
              <w:top w:val="nil"/>
              <w:left w:val="single" w:sz="4" w:space="0" w:color="auto"/>
              <w:bottom w:val="single" w:sz="4" w:space="0" w:color="auto"/>
              <w:right w:val="single" w:sz="4" w:space="0" w:color="auto"/>
            </w:tcBorders>
            <w:vAlign w:val="center"/>
          </w:tcPr>
          <w:p w14:paraId="1A2ABCE1"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hAnsi="Times New Roman" w:cs="Times New Roman"/>
                <w:color w:val="000000"/>
                <w:sz w:val="20"/>
                <w:szCs w:val="20"/>
              </w:rPr>
              <w:t>0,91%</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49CD089"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6</w:t>
            </w:r>
          </w:p>
        </w:tc>
        <w:tc>
          <w:tcPr>
            <w:tcW w:w="993" w:type="dxa"/>
            <w:tcBorders>
              <w:top w:val="nil"/>
              <w:left w:val="nil"/>
              <w:bottom w:val="single" w:sz="4" w:space="0" w:color="auto"/>
              <w:right w:val="single" w:sz="4" w:space="0" w:color="auto"/>
            </w:tcBorders>
            <w:shd w:val="clear" w:color="auto" w:fill="auto"/>
            <w:noWrap/>
            <w:vAlign w:val="center"/>
            <w:hideMark/>
          </w:tcPr>
          <w:p w14:paraId="3EF91EF1"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0,50%</w:t>
            </w:r>
          </w:p>
        </w:tc>
      </w:tr>
      <w:tr w:rsidR="00863EF0" w:rsidRPr="00375117" w14:paraId="158A8C5E"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7D76AC35"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lastRenderedPageBreak/>
              <w:t>cesija</w:t>
            </w:r>
          </w:p>
        </w:tc>
        <w:tc>
          <w:tcPr>
            <w:tcW w:w="994" w:type="dxa"/>
            <w:tcBorders>
              <w:top w:val="nil"/>
              <w:left w:val="nil"/>
              <w:bottom w:val="single" w:sz="4" w:space="0" w:color="auto"/>
              <w:right w:val="single" w:sz="4" w:space="0" w:color="auto"/>
            </w:tcBorders>
            <w:vAlign w:val="center"/>
          </w:tcPr>
          <w:p w14:paraId="4CB95E78"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eastAsia="Times New Roman" w:hAnsi="Times New Roman" w:cs="Times New Roman"/>
                <w:b/>
                <w:color w:val="000000"/>
                <w:sz w:val="20"/>
                <w:szCs w:val="20"/>
                <w:lang w:eastAsia="hr-HR"/>
              </w:rPr>
              <w:t>4</w:t>
            </w:r>
          </w:p>
        </w:tc>
        <w:tc>
          <w:tcPr>
            <w:tcW w:w="995" w:type="dxa"/>
            <w:tcBorders>
              <w:top w:val="nil"/>
              <w:left w:val="single" w:sz="4" w:space="0" w:color="auto"/>
              <w:bottom w:val="single" w:sz="4" w:space="0" w:color="auto"/>
              <w:right w:val="single" w:sz="4" w:space="0" w:color="auto"/>
            </w:tcBorders>
            <w:vAlign w:val="center"/>
          </w:tcPr>
          <w:p w14:paraId="7E6A0D1D"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hAnsi="Times New Roman" w:cs="Times New Roman"/>
                <w:color w:val="000000"/>
                <w:sz w:val="20"/>
                <w:szCs w:val="20"/>
              </w:rPr>
              <w:t>0,28%</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586047A"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5</w:t>
            </w:r>
          </w:p>
        </w:tc>
        <w:tc>
          <w:tcPr>
            <w:tcW w:w="993" w:type="dxa"/>
            <w:tcBorders>
              <w:top w:val="nil"/>
              <w:left w:val="nil"/>
              <w:bottom w:val="single" w:sz="4" w:space="0" w:color="auto"/>
              <w:right w:val="single" w:sz="4" w:space="0" w:color="auto"/>
            </w:tcBorders>
            <w:shd w:val="clear" w:color="auto" w:fill="auto"/>
            <w:noWrap/>
            <w:vAlign w:val="center"/>
            <w:hideMark/>
          </w:tcPr>
          <w:p w14:paraId="4166885F"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0,42%</w:t>
            </w:r>
          </w:p>
        </w:tc>
      </w:tr>
      <w:tr w:rsidR="00863EF0" w:rsidRPr="00375117" w14:paraId="11ECDBEC"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7F379C2E"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kupnja strane gotovine</w:t>
            </w:r>
          </w:p>
        </w:tc>
        <w:tc>
          <w:tcPr>
            <w:tcW w:w="994" w:type="dxa"/>
            <w:tcBorders>
              <w:top w:val="nil"/>
              <w:left w:val="nil"/>
              <w:bottom w:val="single" w:sz="4" w:space="0" w:color="auto"/>
              <w:right w:val="single" w:sz="4" w:space="0" w:color="auto"/>
            </w:tcBorders>
          </w:tcPr>
          <w:p w14:paraId="136F8D18"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995" w:type="dxa"/>
            <w:tcBorders>
              <w:top w:val="nil"/>
              <w:left w:val="single" w:sz="4" w:space="0" w:color="auto"/>
              <w:bottom w:val="single" w:sz="4" w:space="0" w:color="auto"/>
              <w:right w:val="single" w:sz="4" w:space="0" w:color="auto"/>
            </w:tcBorders>
          </w:tcPr>
          <w:p w14:paraId="39849947"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0,07%</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EF8FE2E"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4</w:t>
            </w:r>
          </w:p>
        </w:tc>
        <w:tc>
          <w:tcPr>
            <w:tcW w:w="993" w:type="dxa"/>
            <w:tcBorders>
              <w:top w:val="nil"/>
              <w:left w:val="nil"/>
              <w:bottom w:val="single" w:sz="4" w:space="0" w:color="auto"/>
              <w:right w:val="single" w:sz="4" w:space="0" w:color="auto"/>
            </w:tcBorders>
            <w:shd w:val="clear" w:color="auto" w:fill="auto"/>
            <w:noWrap/>
            <w:vAlign w:val="center"/>
            <w:hideMark/>
          </w:tcPr>
          <w:p w14:paraId="213BE5D5"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0,33%</w:t>
            </w:r>
          </w:p>
        </w:tc>
      </w:tr>
      <w:tr w:rsidR="00863EF0" w:rsidRPr="00375117" w14:paraId="2BEF8764"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46BDA169"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avans</w:t>
            </w:r>
          </w:p>
        </w:tc>
        <w:tc>
          <w:tcPr>
            <w:tcW w:w="994" w:type="dxa"/>
            <w:tcBorders>
              <w:top w:val="nil"/>
              <w:left w:val="nil"/>
              <w:bottom w:val="single" w:sz="4" w:space="0" w:color="auto"/>
              <w:right w:val="single" w:sz="4" w:space="0" w:color="auto"/>
            </w:tcBorders>
            <w:vAlign w:val="center"/>
          </w:tcPr>
          <w:p w14:paraId="73E60738"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eastAsia="Times New Roman" w:hAnsi="Times New Roman" w:cs="Times New Roman"/>
                <w:b/>
                <w:color w:val="000000"/>
                <w:sz w:val="20"/>
                <w:szCs w:val="20"/>
                <w:lang w:eastAsia="hr-HR"/>
              </w:rPr>
              <w:t>5</w:t>
            </w:r>
          </w:p>
        </w:tc>
        <w:tc>
          <w:tcPr>
            <w:tcW w:w="995" w:type="dxa"/>
            <w:tcBorders>
              <w:top w:val="nil"/>
              <w:left w:val="single" w:sz="4" w:space="0" w:color="auto"/>
              <w:bottom w:val="single" w:sz="4" w:space="0" w:color="auto"/>
              <w:right w:val="single" w:sz="4" w:space="0" w:color="auto"/>
            </w:tcBorders>
            <w:vAlign w:val="center"/>
          </w:tcPr>
          <w:p w14:paraId="5AAFD386"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hAnsi="Times New Roman" w:cs="Times New Roman"/>
                <w:color w:val="000000"/>
                <w:sz w:val="20"/>
                <w:szCs w:val="20"/>
              </w:rPr>
              <w:t>0,35%</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6528FFA"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3</w:t>
            </w:r>
          </w:p>
        </w:tc>
        <w:tc>
          <w:tcPr>
            <w:tcW w:w="993" w:type="dxa"/>
            <w:tcBorders>
              <w:top w:val="nil"/>
              <w:left w:val="nil"/>
              <w:bottom w:val="single" w:sz="4" w:space="0" w:color="auto"/>
              <w:right w:val="single" w:sz="4" w:space="0" w:color="auto"/>
            </w:tcBorders>
            <w:shd w:val="clear" w:color="auto" w:fill="auto"/>
            <w:noWrap/>
            <w:vAlign w:val="center"/>
            <w:hideMark/>
          </w:tcPr>
          <w:p w14:paraId="486A2A8F"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0,25%</w:t>
            </w:r>
          </w:p>
        </w:tc>
      </w:tr>
      <w:tr w:rsidR="00863EF0" w:rsidRPr="00375117" w14:paraId="418877E7"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1F29E032"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nasljedstvo</w:t>
            </w:r>
          </w:p>
        </w:tc>
        <w:tc>
          <w:tcPr>
            <w:tcW w:w="994" w:type="dxa"/>
            <w:tcBorders>
              <w:top w:val="nil"/>
              <w:left w:val="nil"/>
              <w:bottom w:val="single" w:sz="4" w:space="0" w:color="auto"/>
              <w:right w:val="single" w:sz="4" w:space="0" w:color="auto"/>
            </w:tcBorders>
            <w:vAlign w:val="center"/>
          </w:tcPr>
          <w:p w14:paraId="248AA1FA"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eastAsia="Times New Roman" w:hAnsi="Times New Roman" w:cs="Times New Roman"/>
                <w:b/>
                <w:color w:val="000000"/>
                <w:sz w:val="20"/>
                <w:szCs w:val="20"/>
                <w:lang w:eastAsia="hr-HR"/>
              </w:rPr>
              <w:t>3</w:t>
            </w:r>
          </w:p>
        </w:tc>
        <w:tc>
          <w:tcPr>
            <w:tcW w:w="995" w:type="dxa"/>
            <w:tcBorders>
              <w:top w:val="nil"/>
              <w:left w:val="single" w:sz="4" w:space="0" w:color="auto"/>
              <w:bottom w:val="single" w:sz="4" w:space="0" w:color="auto"/>
              <w:right w:val="single" w:sz="4" w:space="0" w:color="auto"/>
            </w:tcBorders>
            <w:vAlign w:val="center"/>
          </w:tcPr>
          <w:p w14:paraId="7574B60E"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hAnsi="Times New Roman" w:cs="Times New Roman"/>
                <w:color w:val="000000"/>
                <w:sz w:val="20"/>
                <w:szCs w:val="20"/>
              </w:rPr>
              <w:t>0,21%</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97926CF"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3</w:t>
            </w:r>
          </w:p>
        </w:tc>
        <w:tc>
          <w:tcPr>
            <w:tcW w:w="993" w:type="dxa"/>
            <w:tcBorders>
              <w:top w:val="nil"/>
              <w:left w:val="nil"/>
              <w:bottom w:val="single" w:sz="4" w:space="0" w:color="auto"/>
              <w:right w:val="single" w:sz="4" w:space="0" w:color="auto"/>
            </w:tcBorders>
            <w:shd w:val="clear" w:color="auto" w:fill="auto"/>
            <w:noWrap/>
            <w:vAlign w:val="center"/>
            <w:hideMark/>
          </w:tcPr>
          <w:p w14:paraId="57D28015"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0,25%</w:t>
            </w:r>
          </w:p>
        </w:tc>
      </w:tr>
      <w:tr w:rsidR="00863EF0" w:rsidRPr="00375117" w14:paraId="459A678D"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2B6C9D54"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prodaja strane gotovine</w:t>
            </w:r>
          </w:p>
        </w:tc>
        <w:tc>
          <w:tcPr>
            <w:tcW w:w="994" w:type="dxa"/>
            <w:tcBorders>
              <w:top w:val="nil"/>
              <w:left w:val="nil"/>
              <w:bottom w:val="single" w:sz="4" w:space="0" w:color="auto"/>
              <w:right w:val="single" w:sz="4" w:space="0" w:color="auto"/>
            </w:tcBorders>
            <w:vAlign w:val="center"/>
          </w:tcPr>
          <w:p w14:paraId="00DC7324"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eastAsia="Times New Roman" w:hAnsi="Times New Roman" w:cs="Times New Roman"/>
                <w:b/>
                <w:color w:val="000000"/>
                <w:sz w:val="20"/>
                <w:szCs w:val="20"/>
                <w:lang w:eastAsia="hr-HR"/>
              </w:rPr>
              <w:t>7</w:t>
            </w:r>
          </w:p>
        </w:tc>
        <w:tc>
          <w:tcPr>
            <w:tcW w:w="995" w:type="dxa"/>
            <w:tcBorders>
              <w:top w:val="nil"/>
              <w:left w:val="single" w:sz="4" w:space="0" w:color="auto"/>
              <w:bottom w:val="single" w:sz="4" w:space="0" w:color="auto"/>
              <w:right w:val="single" w:sz="4" w:space="0" w:color="auto"/>
            </w:tcBorders>
            <w:vAlign w:val="center"/>
          </w:tcPr>
          <w:p w14:paraId="2439D477"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hAnsi="Times New Roman" w:cs="Times New Roman"/>
                <w:color w:val="000000"/>
                <w:sz w:val="20"/>
                <w:szCs w:val="20"/>
              </w:rPr>
              <w:t>0,49%</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998AF66"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3</w:t>
            </w:r>
          </w:p>
        </w:tc>
        <w:tc>
          <w:tcPr>
            <w:tcW w:w="993" w:type="dxa"/>
            <w:tcBorders>
              <w:top w:val="nil"/>
              <w:left w:val="nil"/>
              <w:bottom w:val="single" w:sz="4" w:space="0" w:color="auto"/>
              <w:right w:val="single" w:sz="4" w:space="0" w:color="auto"/>
            </w:tcBorders>
            <w:shd w:val="clear" w:color="auto" w:fill="auto"/>
            <w:noWrap/>
            <w:vAlign w:val="center"/>
            <w:hideMark/>
          </w:tcPr>
          <w:p w14:paraId="518DBD0C"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0,25%</w:t>
            </w:r>
          </w:p>
        </w:tc>
      </w:tr>
      <w:tr w:rsidR="00863EF0" w:rsidRPr="00375117" w14:paraId="515B9051"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4F835F2B"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plemeniti metali</w:t>
            </w:r>
          </w:p>
        </w:tc>
        <w:tc>
          <w:tcPr>
            <w:tcW w:w="994" w:type="dxa"/>
            <w:tcBorders>
              <w:top w:val="nil"/>
              <w:left w:val="nil"/>
              <w:bottom w:val="single" w:sz="4" w:space="0" w:color="auto"/>
              <w:right w:val="single" w:sz="4" w:space="0" w:color="auto"/>
            </w:tcBorders>
            <w:vAlign w:val="center"/>
          </w:tcPr>
          <w:p w14:paraId="7DE6D161"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eastAsia="Times New Roman" w:hAnsi="Times New Roman" w:cs="Times New Roman"/>
                <w:b/>
                <w:color w:val="000000"/>
                <w:sz w:val="20"/>
                <w:szCs w:val="20"/>
                <w:lang w:eastAsia="hr-HR"/>
              </w:rPr>
              <w:t>2</w:t>
            </w:r>
          </w:p>
        </w:tc>
        <w:tc>
          <w:tcPr>
            <w:tcW w:w="995" w:type="dxa"/>
            <w:tcBorders>
              <w:top w:val="nil"/>
              <w:left w:val="single" w:sz="4" w:space="0" w:color="auto"/>
              <w:bottom w:val="single" w:sz="4" w:space="0" w:color="auto"/>
              <w:right w:val="single" w:sz="4" w:space="0" w:color="auto"/>
            </w:tcBorders>
            <w:vAlign w:val="center"/>
          </w:tcPr>
          <w:p w14:paraId="1AFB717F"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F3218D">
              <w:rPr>
                <w:rFonts w:ascii="Times New Roman" w:hAnsi="Times New Roman" w:cs="Times New Roman"/>
                <w:color w:val="000000"/>
                <w:sz w:val="20"/>
                <w:szCs w:val="20"/>
              </w:rPr>
              <w:t>0,14%</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B3DE755"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2</w:t>
            </w:r>
          </w:p>
        </w:tc>
        <w:tc>
          <w:tcPr>
            <w:tcW w:w="993" w:type="dxa"/>
            <w:tcBorders>
              <w:top w:val="nil"/>
              <w:left w:val="nil"/>
              <w:bottom w:val="single" w:sz="4" w:space="0" w:color="auto"/>
              <w:right w:val="single" w:sz="4" w:space="0" w:color="auto"/>
            </w:tcBorders>
            <w:shd w:val="clear" w:color="auto" w:fill="auto"/>
            <w:noWrap/>
            <w:vAlign w:val="center"/>
            <w:hideMark/>
          </w:tcPr>
          <w:p w14:paraId="50E08BAF"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0,17%</w:t>
            </w:r>
          </w:p>
        </w:tc>
      </w:tr>
      <w:tr w:rsidR="00863EF0" w:rsidRPr="00375117" w14:paraId="17877046" w14:textId="77777777" w:rsidTr="00863EF0">
        <w:trPr>
          <w:trHeight w:val="339"/>
        </w:trPr>
        <w:tc>
          <w:tcPr>
            <w:tcW w:w="3398" w:type="dxa"/>
            <w:tcBorders>
              <w:top w:val="nil"/>
              <w:left w:val="single" w:sz="4" w:space="0" w:color="auto"/>
              <w:bottom w:val="single" w:sz="4" w:space="0" w:color="auto"/>
              <w:right w:val="single" w:sz="4" w:space="0" w:color="auto"/>
            </w:tcBorders>
            <w:shd w:val="clear" w:color="auto" w:fill="auto"/>
            <w:noWrap/>
            <w:vAlign w:val="center"/>
            <w:hideMark/>
          </w:tcPr>
          <w:p w14:paraId="40BC41CD" w14:textId="77777777"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igre na sreću</w:t>
            </w:r>
          </w:p>
        </w:tc>
        <w:tc>
          <w:tcPr>
            <w:tcW w:w="994" w:type="dxa"/>
            <w:tcBorders>
              <w:top w:val="nil"/>
              <w:left w:val="nil"/>
              <w:bottom w:val="single" w:sz="4" w:space="0" w:color="auto"/>
              <w:right w:val="single" w:sz="4" w:space="0" w:color="auto"/>
            </w:tcBorders>
            <w:vAlign w:val="center"/>
          </w:tcPr>
          <w:p w14:paraId="11352F2A"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0</w:t>
            </w:r>
          </w:p>
        </w:tc>
        <w:tc>
          <w:tcPr>
            <w:tcW w:w="995" w:type="dxa"/>
            <w:tcBorders>
              <w:top w:val="nil"/>
              <w:left w:val="single" w:sz="4" w:space="0" w:color="auto"/>
              <w:bottom w:val="single" w:sz="4" w:space="0" w:color="auto"/>
              <w:right w:val="single" w:sz="4" w:space="0" w:color="auto"/>
            </w:tcBorders>
            <w:vAlign w:val="center"/>
          </w:tcPr>
          <w:p w14:paraId="405F21FE"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CA7EEE8" w14:textId="77777777" w:rsidR="00863EF0" w:rsidRPr="00D874CA"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D874CA">
              <w:rPr>
                <w:rFonts w:ascii="Times New Roman" w:eastAsia="Times New Roman" w:hAnsi="Times New Roman" w:cs="Times New Roman"/>
                <w:b/>
                <w:color w:val="000000"/>
                <w:sz w:val="20"/>
                <w:szCs w:val="20"/>
                <w:lang w:eastAsia="hr-HR"/>
              </w:rPr>
              <w:t>1</w:t>
            </w:r>
          </w:p>
        </w:tc>
        <w:tc>
          <w:tcPr>
            <w:tcW w:w="993" w:type="dxa"/>
            <w:tcBorders>
              <w:top w:val="nil"/>
              <w:left w:val="nil"/>
              <w:bottom w:val="single" w:sz="4" w:space="0" w:color="auto"/>
              <w:right w:val="single" w:sz="4" w:space="0" w:color="auto"/>
            </w:tcBorders>
            <w:shd w:val="clear" w:color="auto" w:fill="auto"/>
            <w:noWrap/>
            <w:vAlign w:val="center"/>
            <w:hideMark/>
          </w:tcPr>
          <w:p w14:paraId="718507C1"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0,08%</w:t>
            </w:r>
          </w:p>
        </w:tc>
      </w:tr>
      <w:tr w:rsidR="00863EF0" w:rsidRPr="00375117" w14:paraId="17257D4F" w14:textId="77777777" w:rsidTr="00863EF0">
        <w:trPr>
          <w:trHeight w:val="109"/>
        </w:trPr>
        <w:tc>
          <w:tcPr>
            <w:tcW w:w="3398" w:type="dxa"/>
            <w:tcBorders>
              <w:top w:val="nil"/>
              <w:left w:val="single" w:sz="4" w:space="0" w:color="auto"/>
              <w:bottom w:val="single" w:sz="4" w:space="0" w:color="auto"/>
              <w:right w:val="single" w:sz="4" w:space="0" w:color="auto"/>
            </w:tcBorders>
            <w:shd w:val="clear" w:color="000000" w:fill="F2F2F2"/>
            <w:noWrap/>
            <w:vAlign w:val="center"/>
            <w:hideMark/>
          </w:tcPr>
          <w:p w14:paraId="41EAFC54" w14:textId="77777777" w:rsidR="00863EF0" w:rsidRPr="00375117" w:rsidRDefault="00863EF0" w:rsidP="00863EF0">
            <w:pPr>
              <w:spacing w:after="0" w:line="240" w:lineRule="auto"/>
              <w:jc w:val="right"/>
              <w:rPr>
                <w:rFonts w:ascii="Times New Roman" w:eastAsia="Times New Roman" w:hAnsi="Times New Roman" w:cs="Times New Roman"/>
                <w:b/>
                <w:bCs/>
                <w:color w:val="000000"/>
                <w:sz w:val="20"/>
                <w:szCs w:val="20"/>
                <w:lang w:eastAsia="hr-HR"/>
              </w:rPr>
            </w:pPr>
            <w:r w:rsidRPr="00375117">
              <w:rPr>
                <w:rFonts w:ascii="Times New Roman" w:eastAsia="Times New Roman" w:hAnsi="Times New Roman" w:cs="Times New Roman"/>
                <w:b/>
                <w:bCs/>
                <w:color w:val="000000"/>
                <w:sz w:val="20"/>
                <w:szCs w:val="20"/>
                <w:lang w:eastAsia="hr-HR"/>
              </w:rPr>
              <w:t> sveukupno:</w:t>
            </w:r>
          </w:p>
        </w:tc>
        <w:tc>
          <w:tcPr>
            <w:tcW w:w="994" w:type="dxa"/>
            <w:tcBorders>
              <w:top w:val="nil"/>
              <w:left w:val="nil"/>
              <w:bottom w:val="single" w:sz="4" w:space="0" w:color="auto"/>
              <w:right w:val="single" w:sz="4" w:space="0" w:color="auto"/>
            </w:tcBorders>
            <w:shd w:val="clear" w:color="000000" w:fill="F2F2F2"/>
            <w:vAlign w:val="center"/>
          </w:tcPr>
          <w:p w14:paraId="6EDF069E" w14:textId="77777777" w:rsidR="00863EF0" w:rsidRPr="00375117" w:rsidRDefault="00863EF0" w:rsidP="00863EF0">
            <w:pPr>
              <w:spacing w:after="0" w:line="240" w:lineRule="auto"/>
              <w:jc w:val="center"/>
              <w:rPr>
                <w:rFonts w:ascii="Times New Roman" w:eastAsia="Times New Roman" w:hAnsi="Times New Roman" w:cs="Times New Roman"/>
                <w:b/>
                <w:bCs/>
                <w:color w:val="000000"/>
                <w:sz w:val="20"/>
                <w:szCs w:val="20"/>
                <w:lang w:eastAsia="hr-HR"/>
              </w:rPr>
            </w:pPr>
            <w:r w:rsidRPr="00F3218D">
              <w:rPr>
                <w:rFonts w:ascii="Times New Roman" w:eastAsia="Times New Roman" w:hAnsi="Times New Roman" w:cs="Times New Roman"/>
                <w:b/>
                <w:bCs/>
                <w:color w:val="000000"/>
                <w:sz w:val="20"/>
                <w:szCs w:val="20"/>
                <w:lang w:eastAsia="hr-HR"/>
              </w:rPr>
              <w:t>1426</w:t>
            </w:r>
          </w:p>
        </w:tc>
        <w:tc>
          <w:tcPr>
            <w:tcW w:w="995" w:type="dxa"/>
            <w:tcBorders>
              <w:top w:val="nil"/>
              <w:left w:val="single" w:sz="4" w:space="0" w:color="auto"/>
              <w:bottom w:val="single" w:sz="4" w:space="0" w:color="auto"/>
              <w:right w:val="single" w:sz="4" w:space="0" w:color="auto"/>
            </w:tcBorders>
            <w:shd w:val="clear" w:color="000000" w:fill="F2F2F2"/>
            <w:vAlign w:val="center"/>
          </w:tcPr>
          <w:p w14:paraId="7D0DCF02" w14:textId="77777777" w:rsidR="00863EF0" w:rsidRPr="00375117" w:rsidRDefault="00863EF0" w:rsidP="00863EF0">
            <w:pPr>
              <w:spacing w:after="0" w:line="240" w:lineRule="auto"/>
              <w:jc w:val="center"/>
              <w:rPr>
                <w:rFonts w:ascii="Times New Roman" w:eastAsia="Times New Roman" w:hAnsi="Times New Roman" w:cs="Times New Roman"/>
                <w:b/>
                <w:bCs/>
                <w:color w:val="000000"/>
                <w:sz w:val="20"/>
                <w:szCs w:val="20"/>
                <w:lang w:eastAsia="hr-HR"/>
              </w:rPr>
            </w:pPr>
            <w:r w:rsidRPr="00F3218D">
              <w:rPr>
                <w:rFonts w:ascii="Times New Roman" w:eastAsia="Times New Roman" w:hAnsi="Times New Roman" w:cs="Times New Roman"/>
                <w:b/>
                <w:bCs/>
                <w:color w:val="000000"/>
                <w:sz w:val="20"/>
                <w:szCs w:val="20"/>
                <w:lang w:eastAsia="hr-HR"/>
              </w:rPr>
              <w:t>100,00%</w:t>
            </w:r>
          </w:p>
        </w:tc>
        <w:tc>
          <w:tcPr>
            <w:tcW w:w="850" w:type="dxa"/>
            <w:tcBorders>
              <w:top w:val="nil"/>
              <w:left w:val="single" w:sz="4" w:space="0" w:color="auto"/>
              <w:bottom w:val="single" w:sz="4" w:space="0" w:color="auto"/>
              <w:right w:val="single" w:sz="4" w:space="0" w:color="auto"/>
            </w:tcBorders>
            <w:shd w:val="clear" w:color="000000" w:fill="F2F2F2"/>
            <w:noWrap/>
            <w:vAlign w:val="center"/>
            <w:hideMark/>
          </w:tcPr>
          <w:p w14:paraId="15CB8A6C" w14:textId="77777777" w:rsidR="00863EF0" w:rsidRPr="00D874CA" w:rsidRDefault="00863EF0" w:rsidP="00863EF0">
            <w:pPr>
              <w:spacing w:after="0" w:line="240" w:lineRule="auto"/>
              <w:jc w:val="center"/>
              <w:rPr>
                <w:rFonts w:ascii="Times New Roman" w:eastAsia="Times New Roman" w:hAnsi="Times New Roman" w:cs="Times New Roman"/>
                <w:b/>
                <w:bCs/>
                <w:color w:val="000000"/>
                <w:sz w:val="20"/>
                <w:szCs w:val="20"/>
                <w:lang w:eastAsia="hr-HR"/>
              </w:rPr>
            </w:pPr>
            <w:r w:rsidRPr="00D874CA">
              <w:rPr>
                <w:rFonts w:ascii="Times New Roman" w:eastAsia="Times New Roman" w:hAnsi="Times New Roman" w:cs="Times New Roman"/>
                <w:b/>
                <w:bCs/>
                <w:color w:val="000000"/>
                <w:sz w:val="20"/>
                <w:szCs w:val="20"/>
                <w:lang w:eastAsia="hr-HR"/>
              </w:rPr>
              <w:t>1197</w:t>
            </w:r>
          </w:p>
        </w:tc>
        <w:tc>
          <w:tcPr>
            <w:tcW w:w="993" w:type="dxa"/>
            <w:tcBorders>
              <w:top w:val="nil"/>
              <w:left w:val="nil"/>
              <w:bottom w:val="single" w:sz="4" w:space="0" w:color="auto"/>
              <w:right w:val="single" w:sz="4" w:space="0" w:color="auto"/>
            </w:tcBorders>
            <w:shd w:val="clear" w:color="000000" w:fill="F2F2F2"/>
            <w:noWrap/>
            <w:vAlign w:val="center"/>
            <w:hideMark/>
          </w:tcPr>
          <w:p w14:paraId="3C8A0D1A" w14:textId="77777777" w:rsidR="00863EF0" w:rsidRPr="00375117" w:rsidRDefault="00863EF0" w:rsidP="00863EF0">
            <w:pPr>
              <w:spacing w:after="0" w:line="240" w:lineRule="auto"/>
              <w:jc w:val="center"/>
              <w:rPr>
                <w:rFonts w:ascii="Times New Roman" w:eastAsia="Times New Roman" w:hAnsi="Times New Roman" w:cs="Times New Roman"/>
                <w:b/>
                <w:bCs/>
                <w:color w:val="000000"/>
                <w:sz w:val="20"/>
                <w:szCs w:val="20"/>
                <w:lang w:eastAsia="hr-HR"/>
              </w:rPr>
            </w:pPr>
            <w:r w:rsidRPr="00375117">
              <w:rPr>
                <w:rFonts w:ascii="Times New Roman" w:eastAsia="Times New Roman" w:hAnsi="Times New Roman" w:cs="Times New Roman"/>
                <w:b/>
                <w:bCs/>
                <w:color w:val="000000"/>
                <w:sz w:val="20"/>
                <w:szCs w:val="20"/>
                <w:lang w:eastAsia="hr-HR"/>
              </w:rPr>
              <w:t>100,00%</w:t>
            </w:r>
          </w:p>
        </w:tc>
      </w:tr>
    </w:tbl>
    <w:p w14:paraId="1444F188" w14:textId="77777777" w:rsidR="00863EF0" w:rsidRPr="004665E0" w:rsidRDefault="00863EF0" w:rsidP="00863EF0">
      <w:pPr>
        <w:spacing w:after="0" w:line="240" w:lineRule="auto"/>
        <w:jc w:val="both"/>
        <w:rPr>
          <w:rFonts w:ascii="Times New Roman" w:eastAsia="Times New Roman" w:hAnsi="Times New Roman" w:cs="Times New Roman"/>
          <w:b/>
          <w:sz w:val="24"/>
          <w:szCs w:val="24"/>
        </w:rPr>
      </w:pPr>
    </w:p>
    <w:p w14:paraId="33F299DE" w14:textId="77777777" w:rsidR="00863EF0" w:rsidRPr="00906640" w:rsidRDefault="00863EF0" w:rsidP="00863EF0">
      <w:pPr>
        <w:spacing w:after="0" w:line="240" w:lineRule="auto"/>
        <w:jc w:val="both"/>
        <w:rPr>
          <w:rFonts w:ascii="Times New Roman" w:eastAsia="Times New Roman" w:hAnsi="Times New Roman" w:cs="Times New Roman"/>
          <w:b/>
          <w:sz w:val="24"/>
          <w:szCs w:val="24"/>
        </w:rPr>
      </w:pPr>
      <w:r w:rsidRPr="00906640">
        <w:rPr>
          <w:rFonts w:ascii="Times New Roman" w:eastAsia="Times New Roman" w:hAnsi="Times New Roman" w:cs="Times New Roman"/>
          <w:b/>
          <w:sz w:val="24"/>
          <w:szCs w:val="24"/>
        </w:rPr>
        <w:t>Podatci o broju obavijesti o sumnjivim transakcijama, sredstvima i osobama zaprimljenih od banaka u 2022. prema rezidentnosti prijavljene osobe (stranke)</w:t>
      </w:r>
    </w:p>
    <w:p w14:paraId="7D059A9C" w14:textId="77777777" w:rsidR="00863EF0" w:rsidRPr="00906640" w:rsidRDefault="00863EF0" w:rsidP="00863EF0">
      <w:pPr>
        <w:spacing w:after="0" w:line="240" w:lineRule="auto"/>
        <w:ind w:right="-128"/>
        <w:jc w:val="both"/>
        <w:rPr>
          <w:rFonts w:ascii="Times New Roman" w:eastAsia="Times New Roman" w:hAnsi="Times New Roman" w:cs="Times New Roman"/>
          <w:sz w:val="24"/>
          <w:szCs w:val="24"/>
        </w:rPr>
      </w:pPr>
    </w:p>
    <w:p w14:paraId="5B093F04" w14:textId="77777777" w:rsidR="00863EF0" w:rsidRPr="002A6D88" w:rsidRDefault="00863EF0" w:rsidP="00863EF0">
      <w:pPr>
        <w:spacing w:after="0" w:line="240" w:lineRule="auto"/>
        <w:ind w:right="-128"/>
        <w:jc w:val="both"/>
        <w:rPr>
          <w:rFonts w:ascii="Times New Roman" w:eastAsia="Calibri" w:hAnsi="Times New Roman" w:cs="Times New Roman"/>
          <w:sz w:val="24"/>
          <w:szCs w:val="24"/>
        </w:rPr>
      </w:pPr>
      <w:r w:rsidRPr="002A6D88">
        <w:rPr>
          <w:rFonts w:ascii="Times New Roman" w:eastAsia="Calibri" w:hAnsi="Times New Roman" w:cs="Times New Roman"/>
          <w:sz w:val="24"/>
          <w:szCs w:val="24"/>
        </w:rPr>
        <w:t xml:space="preserve">U Grafikonu </w:t>
      </w:r>
      <w:r>
        <w:rPr>
          <w:rFonts w:ascii="Times New Roman" w:eastAsia="Calibri" w:hAnsi="Times New Roman" w:cs="Times New Roman"/>
          <w:sz w:val="24"/>
          <w:szCs w:val="24"/>
        </w:rPr>
        <w:t xml:space="preserve">6. </w:t>
      </w:r>
      <w:r w:rsidRPr="002A6D88">
        <w:rPr>
          <w:rFonts w:ascii="Times New Roman" w:eastAsia="Calibri" w:hAnsi="Times New Roman" w:cs="Times New Roman"/>
          <w:sz w:val="24"/>
          <w:szCs w:val="24"/>
        </w:rPr>
        <w:t xml:space="preserve">prikazan je broj i struktura obavijesti o sumnjivim transakcijama, sredstvima i osobama zaprimljenih od banaka u 2022. prema rezidentnosti prijavljene osobe (stranke). Banke su u 2022. prijavile osobe iz 49 država. </w:t>
      </w:r>
    </w:p>
    <w:p w14:paraId="0CC36F79" w14:textId="5B59DB09" w:rsidR="00863EF0" w:rsidRDefault="00863EF0" w:rsidP="00863EF0">
      <w:pPr>
        <w:spacing w:after="0" w:line="0" w:lineRule="atLeast"/>
        <w:ind w:right="-128"/>
        <w:jc w:val="both"/>
        <w:rPr>
          <w:rFonts w:ascii="Times New Roman" w:eastAsia="Times New Roman" w:hAnsi="Times New Roman" w:cs="Times New Roman"/>
          <w:bCs/>
          <w:sz w:val="24"/>
          <w:szCs w:val="24"/>
          <w:lang w:eastAsia="hr-HR"/>
        </w:rPr>
      </w:pPr>
      <w:r w:rsidRPr="002A6D88">
        <w:rPr>
          <w:rFonts w:ascii="Times New Roman" w:eastAsia="Times New Roman" w:hAnsi="Times New Roman" w:cs="Times New Roman"/>
          <w:bCs/>
          <w:sz w:val="24"/>
          <w:szCs w:val="24"/>
          <w:lang w:eastAsia="hr-HR"/>
        </w:rPr>
        <w:t>Od ukupno 2747 obavijesti o sumnjivim transakcijama, sredstvima i osobama najviše obavijesti odnosi se na osobe iz Hrvatske ( 86,46% odnosno 2375 obavijesti), zatim na osobu iz</w:t>
      </w:r>
      <w:r>
        <w:rPr>
          <w:rFonts w:ascii="Times New Roman" w:eastAsia="Times New Roman" w:hAnsi="Times New Roman" w:cs="Times New Roman"/>
          <w:bCs/>
          <w:sz w:val="24"/>
          <w:szCs w:val="24"/>
          <w:lang w:eastAsia="hr-HR"/>
        </w:rPr>
        <w:t xml:space="preserve"> </w:t>
      </w:r>
      <w:r w:rsidRPr="002A6D88">
        <w:rPr>
          <w:rFonts w:ascii="Times New Roman" w:eastAsia="Times New Roman" w:hAnsi="Times New Roman" w:cs="Times New Roman"/>
          <w:bCs/>
          <w:sz w:val="24"/>
          <w:szCs w:val="24"/>
          <w:lang w:eastAsia="hr-HR"/>
        </w:rPr>
        <w:t>Malte (4,55 % odnosno 125 obavijesti), Italije (3,00 % odnosno 82 obavijesti), Bosne i Hercegovine (1,27 % odnosno 35 obavijesti), Njemačke (0,87% odnosno 24 obavijesti), Srbije i Rusije (0,5</w:t>
      </w:r>
      <w:r w:rsidR="00F05E73">
        <w:rPr>
          <w:rFonts w:ascii="Times New Roman" w:eastAsia="Times New Roman" w:hAnsi="Times New Roman" w:cs="Times New Roman"/>
          <w:bCs/>
          <w:sz w:val="24"/>
          <w:szCs w:val="24"/>
          <w:lang w:eastAsia="hr-HR"/>
        </w:rPr>
        <w:t>3</w:t>
      </w:r>
      <w:r w:rsidRPr="002A6D88">
        <w:rPr>
          <w:rFonts w:ascii="Times New Roman" w:eastAsia="Times New Roman" w:hAnsi="Times New Roman" w:cs="Times New Roman"/>
          <w:bCs/>
          <w:sz w:val="24"/>
          <w:szCs w:val="24"/>
          <w:lang w:eastAsia="hr-HR"/>
        </w:rPr>
        <w:t xml:space="preserve">% odnosno 15 obavijesti) te Slovenije (13 obavijesti odnosno 0,47%). </w:t>
      </w:r>
    </w:p>
    <w:p w14:paraId="40982177" w14:textId="77777777" w:rsidR="00863EF0" w:rsidRDefault="00863EF0" w:rsidP="00863EF0">
      <w:pPr>
        <w:spacing w:after="0" w:line="0" w:lineRule="atLeast"/>
        <w:ind w:right="-128"/>
        <w:jc w:val="both"/>
        <w:rPr>
          <w:rFonts w:ascii="Times New Roman" w:eastAsia="Times New Roman" w:hAnsi="Times New Roman" w:cs="Times New Roman"/>
          <w:bCs/>
          <w:sz w:val="24"/>
          <w:szCs w:val="24"/>
          <w:lang w:eastAsia="hr-HR"/>
        </w:rPr>
      </w:pPr>
    </w:p>
    <w:p w14:paraId="2748A806" w14:textId="77777777" w:rsidR="00863EF0" w:rsidRPr="00863EF0" w:rsidRDefault="00863EF0" w:rsidP="00863EF0">
      <w:pPr>
        <w:spacing w:after="0" w:line="0" w:lineRule="atLeast"/>
        <w:ind w:right="-128"/>
        <w:jc w:val="both"/>
        <w:rPr>
          <w:rFonts w:ascii="Times New Roman" w:eastAsia="Times New Roman" w:hAnsi="Times New Roman" w:cs="Times New Roman"/>
          <w:bCs/>
          <w:sz w:val="24"/>
          <w:szCs w:val="24"/>
          <w:lang w:eastAsia="hr-HR"/>
        </w:rPr>
      </w:pPr>
      <w:r w:rsidRPr="00863EF0">
        <w:rPr>
          <w:rFonts w:ascii="Times New Roman" w:eastAsia="Times New Roman" w:hAnsi="Times New Roman" w:cs="Times New Roman"/>
          <w:bCs/>
          <w:sz w:val="24"/>
          <w:szCs w:val="24"/>
          <w:lang w:eastAsia="hr-HR"/>
        </w:rPr>
        <w:t xml:space="preserve">Grafikon 6. </w:t>
      </w:r>
    </w:p>
    <w:p w14:paraId="7C3FAF10" w14:textId="4A29FBC0" w:rsidR="00955187" w:rsidRPr="002118EE" w:rsidRDefault="00863EF0" w:rsidP="002118EE">
      <w:pPr>
        <w:spacing w:after="0" w:line="0" w:lineRule="atLeast"/>
        <w:ind w:right="-128"/>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hr-HR"/>
        </w:rPr>
        <w:drawing>
          <wp:inline distT="0" distB="0" distL="0" distR="0" wp14:anchorId="1E012BDE" wp14:editId="6635F156">
            <wp:extent cx="5646064" cy="2371725"/>
            <wp:effectExtent l="0" t="0" r="0" b="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63852" cy="2379197"/>
                    </a:xfrm>
                    <a:prstGeom prst="rect">
                      <a:avLst/>
                    </a:prstGeom>
                    <a:noFill/>
                  </pic:spPr>
                </pic:pic>
              </a:graphicData>
            </a:graphic>
          </wp:inline>
        </w:drawing>
      </w:r>
    </w:p>
    <w:p w14:paraId="7E72C3E2" w14:textId="77777777" w:rsidR="00955187" w:rsidRDefault="00955187" w:rsidP="00863EF0">
      <w:pPr>
        <w:spacing w:after="0" w:line="0" w:lineRule="atLeast"/>
        <w:jc w:val="both"/>
        <w:rPr>
          <w:rFonts w:ascii="Times New Roman" w:eastAsia="Times New Roman" w:hAnsi="Times New Roman" w:cs="Times New Roman"/>
          <w:b/>
          <w:sz w:val="24"/>
          <w:szCs w:val="24"/>
          <w:lang w:eastAsia="hr-HR"/>
        </w:rPr>
      </w:pPr>
    </w:p>
    <w:p w14:paraId="54B3EDA9" w14:textId="77777777" w:rsidR="00863EF0" w:rsidRPr="00FD171C" w:rsidRDefault="00863EF0" w:rsidP="00863EF0">
      <w:pPr>
        <w:spacing w:after="0" w:line="0" w:lineRule="atLeast"/>
        <w:jc w:val="both"/>
        <w:rPr>
          <w:rFonts w:ascii="Times New Roman" w:eastAsia="Times New Roman" w:hAnsi="Times New Roman" w:cs="Times New Roman"/>
          <w:b/>
          <w:sz w:val="24"/>
          <w:szCs w:val="24"/>
          <w:lang w:eastAsia="hr-HR"/>
        </w:rPr>
      </w:pPr>
      <w:r w:rsidRPr="00FD171C">
        <w:rPr>
          <w:rFonts w:ascii="Times New Roman" w:eastAsia="Times New Roman" w:hAnsi="Times New Roman" w:cs="Times New Roman"/>
          <w:b/>
          <w:sz w:val="24"/>
          <w:szCs w:val="24"/>
          <w:lang w:eastAsia="hr-HR"/>
        </w:rPr>
        <w:t xml:space="preserve">Lista indikatora za prepoznavanje sumnjivih transakcija, sredstava i osoba </w:t>
      </w:r>
    </w:p>
    <w:p w14:paraId="15B15F0A" w14:textId="77777777" w:rsidR="00863EF0" w:rsidRPr="00FD171C" w:rsidRDefault="00863EF0" w:rsidP="00863EF0">
      <w:pPr>
        <w:spacing w:after="0" w:line="0" w:lineRule="atLeast"/>
        <w:jc w:val="both"/>
        <w:rPr>
          <w:rFonts w:ascii="Times New Roman" w:eastAsia="Times New Roman" w:hAnsi="Times New Roman" w:cs="Times New Roman"/>
          <w:b/>
          <w:sz w:val="24"/>
          <w:szCs w:val="24"/>
          <w:lang w:eastAsia="hr-HR"/>
        </w:rPr>
      </w:pPr>
    </w:p>
    <w:p w14:paraId="5097B2A9" w14:textId="77777777" w:rsidR="00863EF0" w:rsidRPr="00906640" w:rsidRDefault="00863EF0" w:rsidP="00863EF0">
      <w:pPr>
        <w:spacing w:after="0" w:line="0"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skladu s </w:t>
      </w:r>
      <w:r w:rsidRPr="00906640">
        <w:rPr>
          <w:rFonts w:ascii="Times New Roman" w:eastAsia="Times New Roman" w:hAnsi="Times New Roman" w:cs="Times New Roman"/>
          <w:sz w:val="24"/>
          <w:szCs w:val="24"/>
          <w:lang w:eastAsia="hr-HR"/>
        </w:rPr>
        <w:t>odredbama članka 60. Zakona obveznici su dužni sastaviti listu indikatora za prepoznavanje sumnjivih transakcija, sredstava i osoba u vezi s kojima postoje razlozi za sumnju na pranje novca ili financiranje terorizma. Prilikom sastavljanja liste indikatora obveznici su dužni uzeti u obzir specifičnosti svog poslovanja i karakteristike sumnjivih transakcija iz članka 56. st. 6. Zakona. Pri sastavljanju lista indikatora obveznici surađuju sa državnim tijelima (Ured, nadležna nadzorna tijela, Hrvatska gospodarska komora, Hrvatska udruga banaka, Hrvatska javnobilježnička komora, Hrvatska odvjetnička komora, Hrvatska komora poreznih savjetnika, Hrvatska revizorska komora te udruženja čiji su članovi obveznici primjene Zakona).</w:t>
      </w:r>
    </w:p>
    <w:p w14:paraId="66ADE7CA" w14:textId="77777777" w:rsidR="00863EF0" w:rsidRPr="00906640" w:rsidRDefault="00863EF0" w:rsidP="00863EF0">
      <w:pPr>
        <w:spacing w:after="0" w:line="0" w:lineRule="atLeast"/>
        <w:jc w:val="both"/>
        <w:rPr>
          <w:rFonts w:ascii="Times New Roman" w:eastAsia="Times New Roman" w:hAnsi="Times New Roman" w:cs="Times New Roman"/>
          <w:sz w:val="24"/>
          <w:szCs w:val="24"/>
          <w:lang w:eastAsia="hr-HR"/>
        </w:rPr>
      </w:pPr>
    </w:p>
    <w:p w14:paraId="38A22DE3" w14:textId="77777777" w:rsidR="00863EF0" w:rsidRPr="00906640" w:rsidRDefault="00863EF0" w:rsidP="00863EF0">
      <w:pPr>
        <w:spacing w:after="0" w:line="240" w:lineRule="auto"/>
        <w:jc w:val="both"/>
        <w:rPr>
          <w:rFonts w:ascii="Times New Roman" w:eastAsia="Calibri" w:hAnsi="Times New Roman" w:cs="Times New Roman"/>
          <w:sz w:val="24"/>
          <w:szCs w:val="24"/>
        </w:rPr>
      </w:pPr>
      <w:r w:rsidRPr="00906640">
        <w:rPr>
          <w:rFonts w:ascii="Times New Roman" w:eastAsia="Calibri" w:hAnsi="Times New Roman" w:cs="Times New Roman"/>
          <w:sz w:val="24"/>
          <w:szCs w:val="24"/>
        </w:rPr>
        <w:lastRenderedPageBreak/>
        <w:t>Obveznici iz članka 9. Zakona su</w:t>
      </w:r>
      <w:r w:rsidRPr="00906640">
        <w:rPr>
          <w:rFonts w:ascii="Times New Roman" w:eastAsia="Calibri" w:hAnsi="Times New Roman" w:cs="Times New Roman"/>
          <w:bCs/>
          <w:iCs/>
          <w:sz w:val="24"/>
          <w:szCs w:val="24"/>
        </w:rPr>
        <w:t xml:space="preserve"> </w:t>
      </w:r>
      <w:r w:rsidRPr="00906640">
        <w:rPr>
          <w:rFonts w:ascii="Times New Roman" w:eastAsia="Calibri" w:hAnsi="Times New Roman" w:cs="Times New Roman"/>
          <w:sz w:val="24"/>
          <w:szCs w:val="24"/>
        </w:rPr>
        <w:t xml:space="preserve">prilikom obavještavanja Ureda o sumnjivim transakcijama, sredstvima i osobama u 2022. koristili </w:t>
      </w:r>
      <w:r>
        <w:rPr>
          <w:rFonts w:ascii="Times New Roman" w:eastAsia="Calibri" w:hAnsi="Times New Roman" w:cs="Times New Roman"/>
          <w:sz w:val="24"/>
          <w:szCs w:val="24"/>
        </w:rPr>
        <w:t>225</w:t>
      </w:r>
      <w:r w:rsidRPr="00906640">
        <w:rPr>
          <w:rFonts w:ascii="Times New Roman" w:eastAsia="Calibri" w:hAnsi="Times New Roman" w:cs="Times New Roman"/>
          <w:sz w:val="24"/>
          <w:szCs w:val="24"/>
        </w:rPr>
        <w:t xml:space="preserve"> različitih indikatora </w:t>
      </w:r>
      <w:r w:rsidRPr="00906640">
        <w:rPr>
          <w:rFonts w:ascii="Times New Roman" w:eastAsia="Calibri" w:hAnsi="Times New Roman" w:cs="Times New Roman"/>
          <w:bCs/>
          <w:iCs/>
          <w:sz w:val="24"/>
          <w:szCs w:val="24"/>
        </w:rPr>
        <w:t>za prepoznavanje sumnjivih transakcija,</w:t>
      </w:r>
      <w:r w:rsidRPr="00906640">
        <w:rPr>
          <w:rFonts w:ascii="Times New Roman" w:eastAsia="Calibri" w:hAnsi="Times New Roman" w:cs="Times New Roman"/>
          <w:b/>
          <w:sz w:val="24"/>
          <w:szCs w:val="24"/>
        </w:rPr>
        <w:t xml:space="preserve"> </w:t>
      </w:r>
      <w:r w:rsidRPr="00906640">
        <w:rPr>
          <w:rFonts w:ascii="Times New Roman" w:eastAsia="Calibri" w:hAnsi="Times New Roman" w:cs="Times New Roman"/>
          <w:sz w:val="24"/>
          <w:szCs w:val="24"/>
        </w:rPr>
        <w:t xml:space="preserve">sredstava i osoba. </w:t>
      </w:r>
    </w:p>
    <w:p w14:paraId="40C740D2" w14:textId="77777777" w:rsidR="00863EF0" w:rsidRPr="00906640" w:rsidRDefault="00863EF0" w:rsidP="00863EF0">
      <w:pPr>
        <w:spacing w:after="0" w:line="240" w:lineRule="auto"/>
        <w:jc w:val="both"/>
        <w:rPr>
          <w:rFonts w:ascii="Times New Roman" w:eastAsia="Calibri" w:hAnsi="Times New Roman" w:cs="Times New Roman"/>
          <w:b/>
          <w:bCs/>
          <w:iCs/>
          <w:sz w:val="24"/>
          <w:szCs w:val="24"/>
        </w:rPr>
      </w:pPr>
    </w:p>
    <w:p w14:paraId="370E8C96" w14:textId="77777777" w:rsidR="00863EF0" w:rsidRDefault="00863EF0" w:rsidP="00863EF0">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Cs/>
          <w:iCs/>
          <w:sz w:val="24"/>
          <w:szCs w:val="24"/>
        </w:rPr>
        <w:t>U T</w:t>
      </w:r>
      <w:r w:rsidRPr="00906640">
        <w:rPr>
          <w:rFonts w:ascii="Times New Roman" w:eastAsia="Calibri" w:hAnsi="Times New Roman" w:cs="Times New Roman"/>
          <w:bCs/>
          <w:iCs/>
          <w:sz w:val="24"/>
          <w:szCs w:val="24"/>
        </w:rPr>
        <w:t>ablici</w:t>
      </w:r>
      <w:r>
        <w:rPr>
          <w:rFonts w:ascii="Times New Roman" w:eastAsia="Calibri" w:hAnsi="Times New Roman" w:cs="Times New Roman"/>
          <w:bCs/>
          <w:iCs/>
          <w:sz w:val="24"/>
          <w:szCs w:val="24"/>
        </w:rPr>
        <w:t xml:space="preserve"> 18</w:t>
      </w:r>
      <w:r w:rsidRPr="00906640">
        <w:rPr>
          <w:rFonts w:ascii="Times New Roman" w:eastAsia="Calibri" w:hAnsi="Times New Roman" w:cs="Times New Roman"/>
          <w:bCs/>
          <w:iCs/>
          <w:sz w:val="24"/>
          <w:szCs w:val="24"/>
        </w:rPr>
        <w:t>. dan je pregled indikatora čiji je postotak korištenja bio 1% i više (bilo samostalno bilo u kombinaciji) za prepoznavanje sumnjivih transakcija, sredstava i osoba a koje indikatore su banke i drugi obveznici iz članka 9. Zakona koristili prilikom obavještavanju Ureda o sumnjivim transakcijama, sredstvima i osobama u 202</w:t>
      </w:r>
      <w:r>
        <w:rPr>
          <w:rFonts w:ascii="Times New Roman" w:eastAsia="Calibri" w:hAnsi="Times New Roman" w:cs="Times New Roman"/>
          <w:bCs/>
          <w:iCs/>
          <w:sz w:val="24"/>
          <w:szCs w:val="24"/>
        </w:rPr>
        <w:t>2</w:t>
      </w:r>
      <w:r w:rsidRPr="00906640">
        <w:rPr>
          <w:rFonts w:ascii="Times New Roman" w:eastAsia="Calibri" w:hAnsi="Times New Roman" w:cs="Times New Roman"/>
          <w:bCs/>
          <w:iCs/>
          <w:sz w:val="24"/>
          <w:szCs w:val="24"/>
        </w:rPr>
        <w:t>.</w:t>
      </w:r>
      <w:r w:rsidRPr="00906640">
        <w:rPr>
          <w:rFonts w:ascii="Times New Roman" w:eastAsia="Calibri" w:hAnsi="Times New Roman" w:cs="Times New Roman"/>
          <w:b/>
          <w:sz w:val="24"/>
          <w:szCs w:val="24"/>
        </w:rPr>
        <w:t xml:space="preserve"> </w:t>
      </w:r>
    </w:p>
    <w:p w14:paraId="4434173B" w14:textId="77777777" w:rsidR="00863EF0" w:rsidRDefault="00863EF0" w:rsidP="00863EF0">
      <w:pPr>
        <w:spacing w:after="0" w:line="240" w:lineRule="auto"/>
        <w:jc w:val="both"/>
        <w:rPr>
          <w:rFonts w:ascii="Times New Roman" w:eastAsia="Calibri" w:hAnsi="Times New Roman" w:cs="Times New Roman"/>
          <w:b/>
          <w:sz w:val="24"/>
          <w:szCs w:val="24"/>
        </w:rPr>
      </w:pPr>
    </w:p>
    <w:p w14:paraId="1D6C09E1" w14:textId="77777777" w:rsidR="00863EF0" w:rsidRPr="00863EF0" w:rsidRDefault="00863EF0" w:rsidP="00863EF0">
      <w:pPr>
        <w:spacing w:after="0" w:line="240" w:lineRule="auto"/>
        <w:jc w:val="both"/>
        <w:rPr>
          <w:rFonts w:ascii="Times New Roman" w:eastAsia="Calibri" w:hAnsi="Times New Roman" w:cs="Times New Roman"/>
          <w:sz w:val="24"/>
          <w:szCs w:val="24"/>
        </w:rPr>
      </w:pPr>
      <w:r w:rsidRPr="00863EF0">
        <w:rPr>
          <w:rFonts w:ascii="Times New Roman" w:eastAsia="Calibri" w:hAnsi="Times New Roman" w:cs="Times New Roman"/>
          <w:iCs/>
          <w:sz w:val="24"/>
          <w:szCs w:val="24"/>
        </w:rPr>
        <w:t xml:space="preserve">Tablica 18. Indikatori koja su obveznici najučestalije koristili pri prijavi </w:t>
      </w:r>
      <w:r w:rsidRPr="00863EF0">
        <w:rPr>
          <w:rFonts w:ascii="Times New Roman" w:eastAsia="Calibri" w:hAnsi="Times New Roman" w:cs="Times New Roman"/>
          <w:sz w:val="24"/>
          <w:szCs w:val="24"/>
        </w:rPr>
        <w:t xml:space="preserve">sumnjivih transakcija, sredstava i osoba u 2022. </w:t>
      </w:r>
    </w:p>
    <w:tbl>
      <w:tblPr>
        <w:tblStyle w:val="Svijetlatablicapopisa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992"/>
        <w:gridCol w:w="993"/>
      </w:tblGrid>
      <w:tr w:rsidR="00863EF0" w:rsidRPr="00375117" w14:paraId="4F08227A" w14:textId="77777777" w:rsidTr="00863EF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941" w:type="dxa"/>
            <w:vMerge w:val="restart"/>
            <w:noWrap/>
            <w:hideMark/>
          </w:tcPr>
          <w:p w14:paraId="54C3AF3D" w14:textId="77777777" w:rsidR="00863EF0" w:rsidRPr="00375117" w:rsidRDefault="00863EF0" w:rsidP="00863EF0">
            <w:pPr>
              <w:jc w:val="center"/>
              <w:rPr>
                <w:rFonts w:ascii="Times New Roman" w:eastAsia="Times New Roman" w:hAnsi="Times New Roman" w:cs="Times New Roman"/>
                <w:b w:val="0"/>
                <w:color w:val="000000"/>
                <w:sz w:val="20"/>
                <w:szCs w:val="20"/>
                <w:lang w:eastAsia="hr-HR"/>
              </w:rPr>
            </w:pPr>
            <w:r w:rsidRPr="00375117">
              <w:rPr>
                <w:rFonts w:ascii="Times New Roman" w:eastAsia="Times New Roman" w:hAnsi="Times New Roman" w:cs="Times New Roman"/>
                <w:b w:val="0"/>
                <w:color w:val="000000"/>
                <w:sz w:val="20"/>
                <w:szCs w:val="20"/>
                <w:lang w:eastAsia="hr-HR"/>
              </w:rPr>
              <w:t xml:space="preserve">Naziv indikatora: </w:t>
            </w:r>
          </w:p>
        </w:tc>
        <w:tc>
          <w:tcPr>
            <w:tcW w:w="1985" w:type="dxa"/>
            <w:gridSpan w:val="2"/>
            <w:hideMark/>
          </w:tcPr>
          <w:p w14:paraId="7226A155" w14:textId="77777777" w:rsidR="00863EF0" w:rsidRPr="00375117" w:rsidRDefault="00863EF0" w:rsidP="00863EF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hr-HR"/>
              </w:rPr>
            </w:pPr>
            <w:r w:rsidRPr="00375117">
              <w:rPr>
                <w:rFonts w:ascii="Times New Roman" w:eastAsia="Times New Roman" w:hAnsi="Times New Roman" w:cs="Times New Roman"/>
                <w:b w:val="0"/>
                <w:color w:val="000000"/>
                <w:sz w:val="20"/>
                <w:szCs w:val="20"/>
                <w:lang w:eastAsia="hr-HR"/>
              </w:rPr>
              <w:t>Učestalost korištenja</w:t>
            </w:r>
          </w:p>
        </w:tc>
      </w:tr>
      <w:tr w:rsidR="00863EF0" w:rsidRPr="00375117" w14:paraId="12A12B9D" w14:textId="77777777" w:rsidTr="00863EF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41" w:type="dxa"/>
            <w:vMerge/>
            <w:noWrap/>
          </w:tcPr>
          <w:p w14:paraId="061F920B" w14:textId="77777777" w:rsidR="00863EF0" w:rsidRPr="00375117" w:rsidRDefault="00863EF0" w:rsidP="00863EF0">
            <w:pPr>
              <w:jc w:val="center"/>
              <w:rPr>
                <w:rFonts w:ascii="Times New Roman" w:eastAsia="Times New Roman" w:hAnsi="Times New Roman" w:cs="Times New Roman"/>
                <w:b w:val="0"/>
                <w:color w:val="000000"/>
                <w:sz w:val="20"/>
                <w:szCs w:val="20"/>
                <w:lang w:eastAsia="hr-HR"/>
              </w:rPr>
            </w:pPr>
          </w:p>
        </w:tc>
        <w:tc>
          <w:tcPr>
            <w:tcW w:w="992" w:type="dxa"/>
          </w:tcPr>
          <w:p w14:paraId="04325CCF" w14:textId="77777777" w:rsidR="00863EF0" w:rsidRPr="00375117" w:rsidRDefault="00863EF0" w:rsidP="00863EF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2021.</w:t>
            </w:r>
          </w:p>
        </w:tc>
        <w:tc>
          <w:tcPr>
            <w:tcW w:w="993" w:type="dxa"/>
          </w:tcPr>
          <w:p w14:paraId="1B1F1624" w14:textId="77777777" w:rsidR="00863EF0" w:rsidRPr="00375117" w:rsidRDefault="00863EF0" w:rsidP="00863EF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2022.</w:t>
            </w:r>
          </w:p>
        </w:tc>
      </w:tr>
      <w:tr w:rsidR="00863EF0" w:rsidRPr="00375117" w14:paraId="55374150" w14:textId="77777777" w:rsidTr="006E0F92">
        <w:trPr>
          <w:trHeight w:val="525"/>
        </w:trPr>
        <w:tc>
          <w:tcPr>
            <w:cnfStyle w:val="001000000000" w:firstRow="0" w:lastRow="0" w:firstColumn="1" w:lastColumn="0" w:oddVBand="0" w:evenVBand="0" w:oddHBand="0" w:evenHBand="0" w:firstRowFirstColumn="0" w:firstRowLastColumn="0" w:lastRowFirstColumn="0" w:lastRowLastColumn="0"/>
            <w:tcW w:w="6941" w:type="dxa"/>
            <w:vAlign w:val="center"/>
            <w:hideMark/>
          </w:tcPr>
          <w:p w14:paraId="4C12D2EB" w14:textId="77777777" w:rsidR="00863EF0" w:rsidRPr="00375117" w:rsidRDefault="00863EF0" w:rsidP="00863EF0">
            <w:pPr>
              <w:rPr>
                <w:rFonts w:ascii="Times New Roman" w:eastAsia="Times New Roman" w:hAnsi="Times New Roman" w:cs="Times New Roman"/>
                <w:b w:val="0"/>
                <w:color w:val="000000"/>
                <w:sz w:val="20"/>
                <w:szCs w:val="20"/>
                <w:lang w:eastAsia="hr-HR"/>
              </w:rPr>
            </w:pPr>
            <w:r w:rsidRPr="00375117">
              <w:rPr>
                <w:rFonts w:ascii="Times New Roman" w:eastAsia="Times New Roman" w:hAnsi="Times New Roman" w:cs="Times New Roman"/>
                <w:b w:val="0"/>
                <w:color w:val="000000"/>
                <w:sz w:val="20"/>
                <w:szCs w:val="20"/>
                <w:lang w:eastAsia="hr-HR"/>
              </w:rPr>
              <w:t>Priljev sredstava u znatnom iznosu koji se odmah transferira na više razlicitih računa ili podiže u gotovini.</w:t>
            </w:r>
          </w:p>
        </w:tc>
        <w:tc>
          <w:tcPr>
            <w:tcW w:w="992" w:type="dxa"/>
            <w:noWrap/>
            <w:vAlign w:val="center"/>
            <w:hideMark/>
          </w:tcPr>
          <w:p w14:paraId="093253A5" w14:textId="77777777" w:rsidR="00863EF0" w:rsidRPr="00375117" w:rsidRDefault="00863EF0" w:rsidP="00863EF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sidRPr="00F3218D">
              <w:rPr>
                <w:rFonts w:ascii="Times New Roman" w:hAnsi="Times New Roman" w:cs="Times New Roman"/>
                <w:sz w:val="20"/>
                <w:szCs w:val="20"/>
              </w:rPr>
              <w:t>12,19%</w:t>
            </w:r>
          </w:p>
        </w:tc>
        <w:tc>
          <w:tcPr>
            <w:tcW w:w="993" w:type="dxa"/>
            <w:vAlign w:val="center"/>
          </w:tcPr>
          <w:p w14:paraId="6ABFA559" w14:textId="77777777" w:rsidR="00863EF0" w:rsidRPr="00375117" w:rsidRDefault="00863EF0" w:rsidP="00863EF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sidRPr="00375117">
              <w:rPr>
                <w:rFonts w:ascii="Times New Roman" w:eastAsia="Times New Roman" w:hAnsi="Times New Roman" w:cs="Times New Roman"/>
                <w:bCs/>
                <w:color w:val="000000"/>
                <w:sz w:val="20"/>
                <w:szCs w:val="20"/>
                <w:lang w:eastAsia="hr-HR"/>
              </w:rPr>
              <w:t>14,49%</w:t>
            </w:r>
          </w:p>
        </w:tc>
      </w:tr>
      <w:tr w:rsidR="00863EF0" w:rsidRPr="00375117" w14:paraId="57B800EB" w14:textId="77777777" w:rsidTr="006E0F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41" w:type="dxa"/>
            <w:vAlign w:val="center"/>
            <w:hideMark/>
          </w:tcPr>
          <w:p w14:paraId="43D18F2D" w14:textId="77777777" w:rsidR="00863EF0" w:rsidRPr="00375117" w:rsidRDefault="00863EF0" w:rsidP="00863EF0">
            <w:pPr>
              <w:rPr>
                <w:rFonts w:ascii="Times New Roman" w:eastAsia="Times New Roman" w:hAnsi="Times New Roman" w:cs="Times New Roman"/>
                <w:b w:val="0"/>
                <w:color w:val="000000"/>
                <w:sz w:val="20"/>
                <w:szCs w:val="20"/>
                <w:lang w:eastAsia="hr-HR"/>
              </w:rPr>
            </w:pPr>
            <w:r w:rsidRPr="00375117">
              <w:rPr>
                <w:rFonts w:ascii="Times New Roman" w:eastAsia="Times New Roman" w:hAnsi="Times New Roman" w:cs="Times New Roman"/>
                <w:b w:val="0"/>
                <w:color w:val="000000"/>
                <w:sz w:val="20"/>
                <w:szCs w:val="20"/>
                <w:lang w:eastAsia="hr-HR"/>
              </w:rPr>
              <w:t>Učestale uplate gotovine.</w:t>
            </w:r>
          </w:p>
        </w:tc>
        <w:tc>
          <w:tcPr>
            <w:tcW w:w="992" w:type="dxa"/>
            <w:noWrap/>
            <w:vAlign w:val="center"/>
            <w:hideMark/>
          </w:tcPr>
          <w:p w14:paraId="596E8784" w14:textId="77777777" w:rsidR="00863EF0" w:rsidRPr="00375117" w:rsidRDefault="00863EF0" w:rsidP="00863EF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sidRPr="00F3218D">
              <w:rPr>
                <w:rFonts w:ascii="Times New Roman" w:hAnsi="Times New Roman" w:cs="Times New Roman"/>
                <w:sz w:val="20"/>
                <w:szCs w:val="20"/>
              </w:rPr>
              <w:t>3,59%</w:t>
            </w:r>
          </w:p>
        </w:tc>
        <w:tc>
          <w:tcPr>
            <w:tcW w:w="993" w:type="dxa"/>
            <w:vAlign w:val="center"/>
          </w:tcPr>
          <w:p w14:paraId="0051A873" w14:textId="77777777" w:rsidR="00863EF0" w:rsidRPr="00375117" w:rsidRDefault="00863EF0" w:rsidP="00863EF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sidRPr="00375117">
              <w:rPr>
                <w:rFonts w:ascii="Times New Roman" w:eastAsia="Times New Roman" w:hAnsi="Times New Roman" w:cs="Times New Roman"/>
                <w:bCs/>
                <w:color w:val="000000"/>
                <w:sz w:val="20"/>
                <w:szCs w:val="20"/>
                <w:lang w:eastAsia="hr-HR"/>
              </w:rPr>
              <w:t>9,91%</w:t>
            </w:r>
          </w:p>
        </w:tc>
      </w:tr>
      <w:tr w:rsidR="00863EF0" w:rsidRPr="00375117" w14:paraId="6E7C435F" w14:textId="77777777" w:rsidTr="006E0F92">
        <w:trPr>
          <w:trHeight w:val="510"/>
        </w:trPr>
        <w:tc>
          <w:tcPr>
            <w:cnfStyle w:val="001000000000" w:firstRow="0" w:lastRow="0" w:firstColumn="1" w:lastColumn="0" w:oddVBand="0" w:evenVBand="0" w:oddHBand="0" w:evenHBand="0" w:firstRowFirstColumn="0" w:firstRowLastColumn="0" w:lastRowFirstColumn="0" w:lastRowLastColumn="0"/>
            <w:tcW w:w="6941" w:type="dxa"/>
            <w:vAlign w:val="center"/>
            <w:hideMark/>
          </w:tcPr>
          <w:p w14:paraId="4908199A" w14:textId="77777777" w:rsidR="00863EF0" w:rsidRPr="00375117" w:rsidRDefault="00863EF0" w:rsidP="00863EF0">
            <w:pPr>
              <w:rPr>
                <w:rFonts w:ascii="Times New Roman" w:eastAsia="Times New Roman" w:hAnsi="Times New Roman" w:cs="Times New Roman"/>
                <w:b w:val="0"/>
                <w:color w:val="000000"/>
                <w:sz w:val="20"/>
                <w:szCs w:val="20"/>
                <w:lang w:eastAsia="hr-HR"/>
              </w:rPr>
            </w:pPr>
            <w:r w:rsidRPr="00375117">
              <w:rPr>
                <w:rFonts w:ascii="Times New Roman" w:eastAsia="Times New Roman" w:hAnsi="Times New Roman" w:cs="Times New Roman"/>
                <w:b w:val="0"/>
                <w:color w:val="000000"/>
                <w:sz w:val="20"/>
                <w:szCs w:val="20"/>
                <w:lang w:eastAsia="hr-HR"/>
              </w:rPr>
              <w:t>Uplata gotovine koja izrazito odstupa od uobičajenog poslovanja klijenta.</w:t>
            </w:r>
          </w:p>
        </w:tc>
        <w:tc>
          <w:tcPr>
            <w:tcW w:w="992" w:type="dxa"/>
            <w:noWrap/>
            <w:vAlign w:val="center"/>
            <w:hideMark/>
          </w:tcPr>
          <w:p w14:paraId="56CB1631" w14:textId="77777777" w:rsidR="00863EF0" w:rsidRPr="00375117" w:rsidRDefault="00863EF0" w:rsidP="00863EF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sidRPr="00F3218D">
              <w:rPr>
                <w:rFonts w:ascii="Times New Roman" w:hAnsi="Times New Roman" w:cs="Times New Roman"/>
                <w:sz w:val="20"/>
                <w:szCs w:val="20"/>
              </w:rPr>
              <w:t>9,34%</w:t>
            </w:r>
          </w:p>
        </w:tc>
        <w:tc>
          <w:tcPr>
            <w:tcW w:w="993" w:type="dxa"/>
            <w:vAlign w:val="center"/>
          </w:tcPr>
          <w:p w14:paraId="481F2932" w14:textId="77777777" w:rsidR="00863EF0" w:rsidRPr="00375117" w:rsidRDefault="00863EF0" w:rsidP="00863EF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sidRPr="00375117">
              <w:rPr>
                <w:rFonts w:ascii="Times New Roman" w:eastAsia="Times New Roman" w:hAnsi="Times New Roman" w:cs="Times New Roman"/>
                <w:bCs/>
                <w:color w:val="000000"/>
                <w:sz w:val="20"/>
                <w:szCs w:val="20"/>
                <w:lang w:eastAsia="hr-HR"/>
              </w:rPr>
              <w:t>9,12%</w:t>
            </w:r>
          </w:p>
        </w:tc>
      </w:tr>
      <w:tr w:rsidR="00863EF0" w:rsidRPr="00375117" w14:paraId="2A9B6FEC" w14:textId="77777777" w:rsidTr="006E0F9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941" w:type="dxa"/>
            <w:vAlign w:val="center"/>
            <w:hideMark/>
          </w:tcPr>
          <w:p w14:paraId="3031760B" w14:textId="77777777" w:rsidR="00863EF0" w:rsidRPr="00375117" w:rsidRDefault="00863EF0" w:rsidP="00863EF0">
            <w:pPr>
              <w:rPr>
                <w:rFonts w:ascii="Times New Roman" w:eastAsia="Times New Roman" w:hAnsi="Times New Roman" w:cs="Times New Roman"/>
                <w:b w:val="0"/>
                <w:color w:val="000000"/>
                <w:sz w:val="20"/>
                <w:szCs w:val="20"/>
                <w:lang w:eastAsia="hr-HR"/>
              </w:rPr>
            </w:pPr>
            <w:r w:rsidRPr="00375117">
              <w:rPr>
                <w:rFonts w:ascii="Times New Roman" w:eastAsia="Times New Roman" w:hAnsi="Times New Roman" w:cs="Times New Roman"/>
                <w:b w:val="0"/>
                <w:color w:val="000000"/>
                <w:sz w:val="20"/>
                <w:szCs w:val="20"/>
                <w:lang w:eastAsia="hr-HR"/>
              </w:rPr>
              <w:t>Odljev/priljev sredstava u/iz inozemstva koji nije u skladu s uobičajenim poslovima klijenta i/ili odstupaju od uobičajenog prometa po računu klijenta.</w:t>
            </w:r>
          </w:p>
        </w:tc>
        <w:tc>
          <w:tcPr>
            <w:tcW w:w="992" w:type="dxa"/>
            <w:noWrap/>
            <w:vAlign w:val="center"/>
            <w:hideMark/>
          </w:tcPr>
          <w:p w14:paraId="748A5870" w14:textId="77777777" w:rsidR="00863EF0" w:rsidRPr="00375117" w:rsidRDefault="00863EF0" w:rsidP="00863EF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4,28%</w:t>
            </w:r>
          </w:p>
        </w:tc>
        <w:tc>
          <w:tcPr>
            <w:tcW w:w="993" w:type="dxa"/>
            <w:vAlign w:val="center"/>
          </w:tcPr>
          <w:p w14:paraId="7A6FB5B9" w14:textId="77777777" w:rsidR="00863EF0" w:rsidRPr="00375117" w:rsidRDefault="00863EF0" w:rsidP="00863EF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sidRPr="00375117">
              <w:rPr>
                <w:rFonts w:ascii="Times New Roman" w:eastAsia="Times New Roman" w:hAnsi="Times New Roman" w:cs="Times New Roman"/>
                <w:bCs/>
                <w:color w:val="000000"/>
                <w:sz w:val="20"/>
                <w:szCs w:val="20"/>
                <w:lang w:eastAsia="hr-HR"/>
              </w:rPr>
              <w:t>8,66%</w:t>
            </w:r>
          </w:p>
        </w:tc>
      </w:tr>
      <w:tr w:rsidR="00863EF0" w:rsidRPr="00375117" w14:paraId="347A05F7" w14:textId="77777777" w:rsidTr="006E0F92">
        <w:trPr>
          <w:trHeight w:val="300"/>
        </w:trPr>
        <w:tc>
          <w:tcPr>
            <w:cnfStyle w:val="001000000000" w:firstRow="0" w:lastRow="0" w:firstColumn="1" w:lastColumn="0" w:oddVBand="0" w:evenVBand="0" w:oddHBand="0" w:evenHBand="0" w:firstRowFirstColumn="0" w:firstRowLastColumn="0" w:lastRowFirstColumn="0" w:lastRowLastColumn="0"/>
            <w:tcW w:w="6941" w:type="dxa"/>
            <w:vAlign w:val="center"/>
            <w:hideMark/>
          </w:tcPr>
          <w:p w14:paraId="28217200" w14:textId="77777777" w:rsidR="00863EF0" w:rsidRPr="00375117" w:rsidRDefault="00863EF0" w:rsidP="00863EF0">
            <w:pPr>
              <w:rPr>
                <w:rFonts w:ascii="Times New Roman" w:eastAsia="Times New Roman" w:hAnsi="Times New Roman" w:cs="Times New Roman"/>
                <w:b w:val="0"/>
                <w:color w:val="000000"/>
                <w:sz w:val="20"/>
                <w:szCs w:val="20"/>
                <w:lang w:eastAsia="hr-HR"/>
              </w:rPr>
            </w:pPr>
            <w:r w:rsidRPr="00375117">
              <w:rPr>
                <w:rFonts w:ascii="Times New Roman" w:eastAsia="Times New Roman" w:hAnsi="Times New Roman" w:cs="Times New Roman"/>
                <w:b w:val="0"/>
                <w:color w:val="000000"/>
                <w:sz w:val="20"/>
                <w:szCs w:val="20"/>
                <w:lang w:eastAsia="hr-HR"/>
              </w:rPr>
              <w:t>Složene i neobično velike transakcije.</w:t>
            </w:r>
          </w:p>
        </w:tc>
        <w:tc>
          <w:tcPr>
            <w:tcW w:w="992" w:type="dxa"/>
            <w:noWrap/>
            <w:vAlign w:val="center"/>
            <w:hideMark/>
          </w:tcPr>
          <w:p w14:paraId="261F257F" w14:textId="77777777" w:rsidR="00863EF0" w:rsidRPr="00375117" w:rsidRDefault="00863EF0" w:rsidP="00863EF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2,11%</w:t>
            </w:r>
          </w:p>
        </w:tc>
        <w:tc>
          <w:tcPr>
            <w:tcW w:w="993" w:type="dxa"/>
            <w:vAlign w:val="center"/>
          </w:tcPr>
          <w:p w14:paraId="13EE3528" w14:textId="77777777" w:rsidR="00863EF0" w:rsidRPr="00375117" w:rsidRDefault="00863EF0" w:rsidP="00863EF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sidRPr="00375117">
              <w:rPr>
                <w:rFonts w:ascii="Times New Roman" w:eastAsia="Times New Roman" w:hAnsi="Times New Roman" w:cs="Times New Roman"/>
                <w:bCs/>
                <w:color w:val="000000"/>
                <w:sz w:val="20"/>
                <w:szCs w:val="20"/>
                <w:lang w:eastAsia="hr-HR"/>
              </w:rPr>
              <w:t>7,83%</w:t>
            </w:r>
          </w:p>
        </w:tc>
      </w:tr>
      <w:tr w:rsidR="00863EF0" w:rsidRPr="00375117" w14:paraId="26DE59B0" w14:textId="77777777" w:rsidTr="006E0F9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941" w:type="dxa"/>
            <w:vAlign w:val="center"/>
            <w:hideMark/>
          </w:tcPr>
          <w:p w14:paraId="4843A4AE" w14:textId="77777777" w:rsidR="00863EF0" w:rsidRPr="00375117" w:rsidRDefault="00863EF0" w:rsidP="00863EF0">
            <w:pPr>
              <w:rPr>
                <w:rFonts w:ascii="Times New Roman" w:eastAsia="Times New Roman" w:hAnsi="Times New Roman" w:cs="Times New Roman"/>
                <w:b w:val="0"/>
                <w:color w:val="000000"/>
                <w:sz w:val="20"/>
                <w:szCs w:val="20"/>
                <w:lang w:eastAsia="hr-HR"/>
              </w:rPr>
            </w:pPr>
            <w:r w:rsidRPr="00375117">
              <w:rPr>
                <w:rFonts w:ascii="Times New Roman" w:eastAsia="Times New Roman" w:hAnsi="Times New Roman" w:cs="Times New Roman"/>
                <w:b w:val="0"/>
                <w:color w:val="000000"/>
                <w:sz w:val="20"/>
                <w:szCs w:val="20"/>
                <w:lang w:eastAsia="hr-HR"/>
              </w:rPr>
              <w:t>Priljev sredstava iz inozemstva koji se odmah transferira dalje u inozemstvo u korist iste stranke ili u korist druge stranke.</w:t>
            </w:r>
          </w:p>
        </w:tc>
        <w:tc>
          <w:tcPr>
            <w:tcW w:w="992" w:type="dxa"/>
            <w:noWrap/>
            <w:vAlign w:val="center"/>
            <w:hideMark/>
          </w:tcPr>
          <w:p w14:paraId="661179C8" w14:textId="77777777" w:rsidR="00863EF0" w:rsidRPr="00375117" w:rsidRDefault="00863EF0" w:rsidP="00863EF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3,70%</w:t>
            </w:r>
          </w:p>
        </w:tc>
        <w:tc>
          <w:tcPr>
            <w:tcW w:w="993" w:type="dxa"/>
            <w:vAlign w:val="center"/>
          </w:tcPr>
          <w:p w14:paraId="4779CDF0" w14:textId="77777777" w:rsidR="00863EF0" w:rsidRPr="00375117" w:rsidRDefault="00863EF0" w:rsidP="00863EF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sidRPr="00375117">
              <w:rPr>
                <w:rFonts w:ascii="Times New Roman" w:eastAsia="Times New Roman" w:hAnsi="Times New Roman" w:cs="Times New Roman"/>
                <w:bCs/>
                <w:color w:val="000000"/>
                <w:sz w:val="20"/>
                <w:szCs w:val="20"/>
                <w:lang w:eastAsia="hr-HR"/>
              </w:rPr>
              <w:t>7,63%</w:t>
            </w:r>
          </w:p>
        </w:tc>
      </w:tr>
      <w:tr w:rsidR="00863EF0" w:rsidRPr="00375117" w14:paraId="21476389" w14:textId="77777777" w:rsidTr="006E0F92">
        <w:trPr>
          <w:trHeight w:val="300"/>
        </w:trPr>
        <w:tc>
          <w:tcPr>
            <w:cnfStyle w:val="001000000000" w:firstRow="0" w:lastRow="0" w:firstColumn="1" w:lastColumn="0" w:oddVBand="0" w:evenVBand="0" w:oddHBand="0" w:evenHBand="0" w:firstRowFirstColumn="0" w:firstRowLastColumn="0" w:lastRowFirstColumn="0" w:lastRowLastColumn="0"/>
            <w:tcW w:w="6941" w:type="dxa"/>
            <w:vAlign w:val="center"/>
            <w:hideMark/>
          </w:tcPr>
          <w:p w14:paraId="3B238530" w14:textId="77777777" w:rsidR="00863EF0" w:rsidRPr="00375117" w:rsidRDefault="00863EF0" w:rsidP="00863EF0">
            <w:pPr>
              <w:rPr>
                <w:rFonts w:ascii="Times New Roman" w:eastAsia="Times New Roman" w:hAnsi="Times New Roman" w:cs="Times New Roman"/>
                <w:b w:val="0"/>
                <w:color w:val="000000"/>
                <w:sz w:val="20"/>
                <w:szCs w:val="20"/>
                <w:lang w:eastAsia="hr-HR"/>
              </w:rPr>
            </w:pPr>
            <w:r w:rsidRPr="00375117">
              <w:rPr>
                <w:rFonts w:ascii="Times New Roman" w:eastAsia="Times New Roman" w:hAnsi="Times New Roman" w:cs="Times New Roman"/>
                <w:b w:val="0"/>
                <w:color w:val="000000"/>
                <w:sz w:val="20"/>
                <w:szCs w:val="20"/>
                <w:lang w:eastAsia="hr-HR"/>
              </w:rPr>
              <w:t>Stranka je već bila prijavljena uredu.</w:t>
            </w:r>
          </w:p>
        </w:tc>
        <w:tc>
          <w:tcPr>
            <w:tcW w:w="992" w:type="dxa"/>
            <w:noWrap/>
            <w:vAlign w:val="center"/>
            <w:hideMark/>
          </w:tcPr>
          <w:p w14:paraId="5CB94A84" w14:textId="77777777" w:rsidR="00863EF0" w:rsidRPr="00375117" w:rsidRDefault="00863EF0" w:rsidP="00863EF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5,27%</w:t>
            </w:r>
          </w:p>
        </w:tc>
        <w:tc>
          <w:tcPr>
            <w:tcW w:w="993" w:type="dxa"/>
            <w:vAlign w:val="center"/>
          </w:tcPr>
          <w:p w14:paraId="4B6CA01D" w14:textId="77777777" w:rsidR="00863EF0" w:rsidRPr="00375117" w:rsidRDefault="00863EF0" w:rsidP="00863EF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sidRPr="00375117">
              <w:rPr>
                <w:rFonts w:ascii="Times New Roman" w:eastAsia="Times New Roman" w:hAnsi="Times New Roman" w:cs="Times New Roman"/>
                <w:bCs/>
                <w:color w:val="000000"/>
                <w:sz w:val="20"/>
                <w:szCs w:val="20"/>
                <w:lang w:eastAsia="hr-HR"/>
              </w:rPr>
              <w:t>7,52%</w:t>
            </w:r>
          </w:p>
        </w:tc>
      </w:tr>
      <w:tr w:rsidR="00863EF0" w:rsidRPr="00375117" w14:paraId="6793D692" w14:textId="77777777" w:rsidTr="006E0F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41" w:type="dxa"/>
            <w:vAlign w:val="center"/>
            <w:hideMark/>
          </w:tcPr>
          <w:p w14:paraId="4AC240EE" w14:textId="77777777" w:rsidR="00863EF0" w:rsidRPr="00375117" w:rsidRDefault="00863EF0" w:rsidP="00863EF0">
            <w:pPr>
              <w:rPr>
                <w:rFonts w:ascii="Times New Roman" w:eastAsia="Times New Roman" w:hAnsi="Times New Roman" w:cs="Times New Roman"/>
                <w:b w:val="0"/>
                <w:color w:val="000000"/>
                <w:sz w:val="20"/>
                <w:szCs w:val="20"/>
                <w:lang w:eastAsia="hr-HR"/>
              </w:rPr>
            </w:pPr>
            <w:r w:rsidRPr="00375117">
              <w:rPr>
                <w:rFonts w:ascii="Times New Roman" w:eastAsia="Times New Roman" w:hAnsi="Times New Roman" w:cs="Times New Roman"/>
                <w:b w:val="0"/>
                <w:color w:val="000000"/>
                <w:sz w:val="20"/>
                <w:szCs w:val="20"/>
                <w:lang w:eastAsia="hr-HR"/>
              </w:rPr>
              <w:t>Značajno i naglo povećanje prometa računa bez prihvatljivog razloga.</w:t>
            </w:r>
          </w:p>
        </w:tc>
        <w:tc>
          <w:tcPr>
            <w:tcW w:w="992" w:type="dxa"/>
            <w:noWrap/>
            <w:vAlign w:val="center"/>
            <w:hideMark/>
          </w:tcPr>
          <w:p w14:paraId="1941D337" w14:textId="77777777" w:rsidR="00863EF0" w:rsidRPr="00375117" w:rsidRDefault="00863EF0" w:rsidP="00863EF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2,08%</w:t>
            </w:r>
          </w:p>
        </w:tc>
        <w:tc>
          <w:tcPr>
            <w:tcW w:w="993" w:type="dxa"/>
            <w:vAlign w:val="center"/>
          </w:tcPr>
          <w:p w14:paraId="0D5095E9" w14:textId="77777777" w:rsidR="00863EF0" w:rsidRPr="00375117" w:rsidRDefault="00863EF0" w:rsidP="00863EF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sidRPr="00375117">
              <w:rPr>
                <w:rFonts w:ascii="Times New Roman" w:eastAsia="Times New Roman" w:hAnsi="Times New Roman" w:cs="Times New Roman"/>
                <w:bCs/>
                <w:color w:val="000000"/>
                <w:sz w:val="20"/>
                <w:szCs w:val="20"/>
                <w:lang w:eastAsia="hr-HR"/>
              </w:rPr>
              <w:t>7,47%</w:t>
            </w:r>
          </w:p>
        </w:tc>
      </w:tr>
      <w:tr w:rsidR="00863EF0" w:rsidRPr="00375117" w14:paraId="17E02281" w14:textId="77777777" w:rsidTr="006E0F92">
        <w:trPr>
          <w:trHeight w:val="510"/>
        </w:trPr>
        <w:tc>
          <w:tcPr>
            <w:cnfStyle w:val="001000000000" w:firstRow="0" w:lastRow="0" w:firstColumn="1" w:lastColumn="0" w:oddVBand="0" w:evenVBand="0" w:oddHBand="0" w:evenHBand="0" w:firstRowFirstColumn="0" w:firstRowLastColumn="0" w:lastRowFirstColumn="0" w:lastRowLastColumn="0"/>
            <w:tcW w:w="6941" w:type="dxa"/>
            <w:vAlign w:val="center"/>
            <w:hideMark/>
          </w:tcPr>
          <w:p w14:paraId="2D9B9175" w14:textId="77777777" w:rsidR="00863EF0" w:rsidRPr="00375117" w:rsidRDefault="00863EF0" w:rsidP="00863EF0">
            <w:pPr>
              <w:rPr>
                <w:rFonts w:ascii="Times New Roman" w:eastAsia="Times New Roman" w:hAnsi="Times New Roman" w:cs="Times New Roman"/>
                <w:b w:val="0"/>
                <w:color w:val="000000"/>
                <w:sz w:val="20"/>
                <w:szCs w:val="20"/>
                <w:lang w:eastAsia="hr-HR"/>
              </w:rPr>
            </w:pPr>
            <w:r w:rsidRPr="00375117">
              <w:rPr>
                <w:rFonts w:ascii="Times New Roman" w:eastAsia="Times New Roman" w:hAnsi="Times New Roman" w:cs="Times New Roman"/>
                <w:b w:val="0"/>
                <w:color w:val="000000"/>
                <w:sz w:val="20"/>
                <w:szCs w:val="20"/>
                <w:lang w:eastAsia="hr-HR"/>
              </w:rPr>
              <w:t>Isplata velikih iznosa gotovine s računa, odmah po priljevu sredstava na račun.</w:t>
            </w:r>
          </w:p>
        </w:tc>
        <w:tc>
          <w:tcPr>
            <w:tcW w:w="992" w:type="dxa"/>
            <w:noWrap/>
            <w:vAlign w:val="center"/>
            <w:hideMark/>
          </w:tcPr>
          <w:p w14:paraId="4427F6FE" w14:textId="77777777" w:rsidR="00863EF0" w:rsidRPr="00375117" w:rsidRDefault="00863EF0" w:rsidP="00863EF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4,69%</w:t>
            </w:r>
          </w:p>
        </w:tc>
        <w:tc>
          <w:tcPr>
            <w:tcW w:w="993" w:type="dxa"/>
            <w:vAlign w:val="center"/>
          </w:tcPr>
          <w:p w14:paraId="4C3B3EAC" w14:textId="77777777" w:rsidR="00863EF0" w:rsidRPr="00375117" w:rsidRDefault="00863EF0" w:rsidP="00863EF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sidRPr="00375117">
              <w:rPr>
                <w:rFonts w:ascii="Times New Roman" w:eastAsia="Times New Roman" w:hAnsi="Times New Roman" w:cs="Times New Roman"/>
                <w:bCs/>
                <w:color w:val="000000"/>
                <w:sz w:val="20"/>
                <w:szCs w:val="20"/>
                <w:lang w:eastAsia="hr-HR"/>
              </w:rPr>
              <w:t>5,93%</w:t>
            </w:r>
          </w:p>
        </w:tc>
      </w:tr>
      <w:tr w:rsidR="00863EF0" w:rsidRPr="00375117" w14:paraId="379415A4" w14:textId="77777777" w:rsidTr="006E0F92">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6941" w:type="dxa"/>
            <w:vAlign w:val="center"/>
            <w:hideMark/>
          </w:tcPr>
          <w:p w14:paraId="0C98766C" w14:textId="77777777" w:rsidR="00863EF0" w:rsidRPr="00375117" w:rsidRDefault="00863EF0" w:rsidP="00863EF0">
            <w:pPr>
              <w:rPr>
                <w:rFonts w:ascii="Times New Roman" w:eastAsia="Times New Roman" w:hAnsi="Times New Roman" w:cs="Times New Roman"/>
                <w:b w:val="0"/>
                <w:color w:val="000000"/>
                <w:sz w:val="20"/>
                <w:szCs w:val="20"/>
                <w:lang w:eastAsia="hr-HR"/>
              </w:rPr>
            </w:pPr>
            <w:r w:rsidRPr="00375117">
              <w:rPr>
                <w:rFonts w:ascii="Times New Roman" w:eastAsia="Times New Roman" w:hAnsi="Times New Roman" w:cs="Times New Roman"/>
                <w:b w:val="0"/>
                <w:color w:val="000000"/>
                <w:sz w:val="20"/>
                <w:szCs w:val="20"/>
                <w:lang w:eastAsia="hr-HR"/>
              </w:rPr>
              <w:t>Neobična priroda transakcije ili neobične okolnosti koje su vezane uz transakciju.</w:t>
            </w:r>
          </w:p>
        </w:tc>
        <w:tc>
          <w:tcPr>
            <w:tcW w:w="992" w:type="dxa"/>
            <w:noWrap/>
            <w:vAlign w:val="center"/>
            <w:hideMark/>
          </w:tcPr>
          <w:p w14:paraId="5003D29E" w14:textId="77777777" w:rsidR="00863EF0" w:rsidRPr="00375117" w:rsidRDefault="00863EF0" w:rsidP="00863EF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1,66%</w:t>
            </w:r>
          </w:p>
        </w:tc>
        <w:tc>
          <w:tcPr>
            <w:tcW w:w="993" w:type="dxa"/>
            <w:vAlign w:val="center"/>
          </w:tcPr>
          <w:p w14:paraId="3DB3D8E1" w14:textId="77777777" w:rsidR="00863EF0" w:rsidRPr="00375117" w:rsidRDefault="00863EF0" w:rsidP="00863EF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sidRPr="00375117">
              <w:rPr>
                <w:rFonts w:ascii="Times New Roman" w:eastAsia="Times New Roman" w:hAnsi="Times New Roman" w:cs="Times New Roman"/>
                <w:bCs/>
                <w:color w:val="000000"/>
                <w:sz w:val="20"/>
                <w:szCs w:val="20"/>
                <w:lang w:eastAsia="hr-HR"/>
              </w:rPr>
              <w:t>3,50%</w:t>
            </w:r>
          </w:p>
        </w:tc>
      </w:tr>
      <w:tr w:rsidR="00863EF0" w:rsidRPr="00375117" w14:paraId="17B21EF0" w14:textId="77777777" w:rsidTr="006E0F92">
        <w:trPr>
          <w:trHeight w:val="510"/>
        </w:trPr>
        <w:tc>
          <w:tcPr>
            <w:cnfStyle w:val="001000000000" w:firstRow="0" w:lastRow="0" w:firstColumn="1" w:lastColumn="0" w:oddVBand="0" w:evenVBand="0" w:oddHBand="0" w:evenHBand="0" w:firstRowFirstColumn="0" w:firstRowLastColumn="0" w:lastRowFirstColumn="0" w:lastRowLastColumn="0"/>
            <w:tcW w:w="6941" w:type="dxa"/>
            <w:vAlign w:val="center"/>
            <w:hideMark/>
          </w:tcPr>
          <w:p w14:paraId="470F0F9E" w14:textId="77777777" w:rsidR="00863EF0" w:rsidRPr="00375117" w:rsidRDefault="00863EF0" w:rsidP="00863EF0">
            <w:pPr>
              <w:rPr>
                <w:rFonts w:ascii="Times New Roman" w:eastAsia="Times New Roman" w:hAnsi="Times New Roman" w:cs="Times New Roman"/>
                <w:b w:val="0"/>
                <w:color w:val="000000"/>
                <w:sz w:val="20"/>
                <w:szCs w:val="20"/>
                <w:lang w:eastAsia="hr-HR"/>
              </w:rPr>
            </w:pPr>
            <w:r w:rsidRPr="00375117">
              <w:rPr>
                <w:rFonts w:ascii="Times New Roman" w:eastAsia="Times New Roman" w:hAnsi="Times New Roman" w:cs="Times New Roman"/>
                <w:b w:val="0"/>
                <w:color w:val="000000"/>
                <w:sz w:val="20"/>
                <w:szCs w:val="20"/>
                <w:lang w:eastAsia="hr-HR"/>
              </w:rPr>
              <w:t>Stranka je rezident države koja je poznata kao financijski (off shore), odnosno porezni raj ili obavlja transakciju s takvom državom.</w:t>
            </w:r>
          </w:p>
        </w:tc>
        <w:tc>
          <w:tcPr>
            <w:tcW w:w="992" w:type="dxa"/>
            <w:noWrap/>
            <w:vAlign w:val="center"/>
            <w:hideMark/>
          </w:tcPr>
          <w:p w14:paraId="27D6EE7A" w14:textId="77777777" w:rsidR="00863EF0" w:rsidRPr="00375117" w:rsidRDefault="00863EF0" w:rsidP="00863EF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2,20%</w:t>
            </w:r>
          </w:p>
        </w:tc>
        <w:tc>
          <w:tcPr>
            <w:tcW w:w="993" w:type="dxa"/>
            <w:vAlign w:val="center"/>
          </w:tcPr>
          <w:p w14:paraId="7B877C22" w14:textId="77777777" w:rsidR="00863EF0" w:rsidRPr="00375117" w:rsidRDefault="00863EF0" w:rsidP="00863EF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sidRPr="00375117">
              <w:rPr>
                <w:rFonts w:ascii="Times New Roman" w:eastAsia="Times New Roman" w:hAnsi="Times New Roman" w:cs="Times New Roman"/>
                <w:bCs/>
                <w:color w:val="000000"/>
                <w:sz w:val="20"/>
                <w:szCs w:val="20"/>
                <w:lang w:eastAsia="hr-HR"/>
              </w:rPr>
              <w:t>2,91%</w:t>
            </w:r>
          </w:p>
        </w:tc>
      </w:tr>
      <w:tr w:rsidR="00863EF0" w:rsidRPr="00375117" w14:paraId="5D1A2FF4" w14:textId="77777777" w:rsidTr="006E0F92">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6941" w:type="dxa"/>
            <w:shd w:val="clear" w:color="auto" w:fill="E7E6E6" w:themeFill="background2"/>
            <w:vAlign w:val="center"/>
            <w:hideMark/>
          </w:tcPr>
          <w:p w14:paraId="275996F6" w14:textId="77777777" w:rsidR="00863EF0" w:rsidRPr="00375117" w:rsidRDefault="00863EF0" w:rsidP="00863EF0">
            <w:pPr>
              <w:rPr>
                <w:rFonts w:ascii="Times New Roman" w:eastAsia="Times New Roman" w:hAnsi="Times New Roman" w:cs="Times New Roman"/>
                <w:b w:val="0"/>
                <w:color w:val="000000"/>
                <w:sz w:val="20"/>
                <w:szCs w:val="20"/>
                <w:lang w:eastAsia="hr-HR"/>
              </w:rPr>
            </w:pPr>
            <w:r w:rsidRPr="00375117">
              <w:rPr>
                <w:rFonts w:ascii="Times New Roman" w:eastAsia="Times New Roman" w:hAnsi="Times New Roman" w:cs="Times New Roman"/>
                <w:b w:val="0"/>
                <w:color w:val="000000"/>
                <w:sz w:val="20"/>
                <w:szCs w:val="20"/>
                <w:lang w:eastAsia="hr-HR"/>
              </w:rPr>
              <w:t>Priljevi naslovljeni kao: kreditna linija, zajam ili predujam posebice ako priljevi stižu iz inozemstva pri čemu je navedeni zajmodavac fiktivno/offshore društvo (zemlja visokog rizika) ili pojedinac ili društvo...</w:t>
            </w:r>
          </w:p>
        </w:tc>
        <w:tc>
          <w:tcPr>
            <w:tcW w:w="992" w:type="dxa"/>
            <w:shd w:val="clear" w:color="auto" w:fill="E7E6E6" w:themeFill="background2"/>
            <w:noWrap/>
            <w:vAlign w:val="center"/>
            <w:hideMark/>
          </w:tcPr>
          <w:p w14:paraId="33011091" w14:textId="77777777" w:rsidR="00863EF0" w:rsidRPr="00375117" w:rsidRDefault="00863EF0" w:rsidP="00863EF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2,20%</w:t>
            </w:r>
          </w:p>
        </w:tc>
        <w:tc>
          <w:tcPr>
            <w:tcW w:w="993" w:type="dxa"/>
            <w:shd w:val="clear" w:color="auto" w:fill="E7E6E6" w:themeFill="background2"/>
            <w:vAlign w:val="center"/>
          </w:tcPr>
          <w:p w14:paraId="4AE5632A" w14:textId="77777777" w:rsidR="00863EF0" w:rsidRPr="00375117" w:rsidRDefault="00863EF0" w:rsidP="00863EF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sidRPr="00375117">
              <w:rPr>
                <w:rFonts w:ascii="Times New Roman" w:eastAsia="Times New Roman" w:hAnsi="Times New Roman" w:cs="Times New Roman"/>
                <w:bCs/>
                <w:color w:val="000000"/>
                <w:sz w:val="20"/>
                <w:szCs w:val="20"/>
                <w:lang w:eastAsia="hr-HR"/>
              </w:rPr>
              <w:t>1,29%</w:t>
            </w:r>
          </w:p>
        </w:tc>
      </w:tr>
    </w:tbl>
    <w:p w14:paraId="50AE7A7B" w14:textId="77777777" w:rsidR="00863EF0" w:rsidRDefault="00863EF0" w:rsidP="00863EF0">
      <w:pPr>
        <w:spacing w:after="0" w:line="240" w:lineRule="auto"/>
        <w:jc w:val="both"/>
        <w:rPr>
          <w:rFonts w:ascii="Times New Roman" w:eastAsia="Calibri" w:hAnsi="Times New Roman" w:cs="Times New Roman"/>
          <w:b/>
          <w:sz w:val="24"/>
          <w:szCs w:val="24"/>
        </w:rPr>
      </w:pPr>
    </w:p>
    <w:p w14:paraId="509DAE87" w14:textId="588AA6A0" w:rsidR="00863EF0" w:rsidRDefault="00863EF0" w:rsidP="00863EF0">
      <w:pPr>
        <w:spacing w:after="0" w:line="240" w:lineRule="auto"/>
        <w:jc w:val="both"/>
        <w:rPr>
          <w:rFonts w:ascii="Times New Roman" w:eastAsia="Calibri" w:hAnsi="Times New Roman" w:cs="Times New Roman"/>
          <w:b/>
          <w:sz w:val="24"/>
          <w:szCs w:val="24"/>
        </w:rPr>
      </w:pPr>
    </w:p>
    <w:p w14:paraId="5A2734B2" w14:textId="77777777" w:rsidR="00863EF0" w:rsidRDefault="00863EF0" w:rsidP="00863EF0">
      <w:pPr>
        <w:spacing w:after="0" w:line="240" w:lineRule="auto"/>
        <w:jc w:val="both"/>
        <w:rPr>
          <w:rFonts w:ascii="Times New Roman" w:eastAsia="Calibri" w:hAnsi="Times New Roman" w:cs="Times New Roman"/>
          <w:b/>
          <w:sz w:val="24"/>
          <w:szCs w:val="24"/>
        </w:rPr>
      </w:pPr>
    </w:p>
    <w:p w14:paraId="68123EE4" w14:textId="414797BE" w:rsidR="00863EF0" w:rsidRPr="00436804" w:rsidRDefault="00863EF0" w:rsidP="00863EF0">
      <w:pPr>
        <w:spacing w:after="0" w:line="240" w:lineRule="auto"/>
        <w:jc w:val="both"/>
        <w:rPr>
          <w:rFonts w:ascii="Times New Roman" w:eastAsia="Calibri" w:hAnsi="Times New Roman" w:cs="Times New Roman"/>
          <w:b/>
          <w:sz w:val="24"/>
          <w:szCs w:val="24"/>
        </w:rPr>
      </w:pPr>
    </w:p>
    <w:p w14:paraId="1F03965C" w14:textId="77777777" w:rsidR="00863EF0" w:rsidRPr="00714497" w:rsidRDefault="00863EF0" w:rsidP="00863EF0">
      <w:pPr>
        <w:pStyle w:val="Naslov3"/>
      </w:pPr>
      <w:bookmarkStart w:id="22" w:name="_Toc152935394"/>
      <w:bookmarkStart w:id="23" w:name="_Toc153353426"/>
      <w:r>
        <w:t>3.2.</w:t>
      </w:r>
      <w:r>
        <w:tab/>
      </w:r>
      <w:r w:rsidRPr="00714497">
        <w:t>Obavijesti o gotovinskim transakcijama u 2022.</w:t>
      </w:r>
      <w:bookmarkEnd w:id="22"/>
      <w:bookmarkEnd w:id="23"/>
    </w:p>
    <w:p w14:paraId="67ABFF9E" w14:textId="77777777" w:rsidR="00863EF0" w:rsidRDefault="00863EF0" w:rsidP="00863EF0">
      <w:pPr>
        <w:spacing w:after="0" w:line="0" w:lineRule="atLeast"/>
        <w:jc w:val="both"/>
        <w:rPr>
          <w:rFonts w:ascii="Times New Roman" w:eastAsia="Times New Roman" w:hAnsi="Times New Roman" w:cs="Times New Roman"/>
          <w:sz w:val="24"/>
          <w:szCs w:val="24"/>
          <w:lang w:eastAsia="hr-HR"/>
        </w:rPr>
      </w:pPr>
    </w:p>
    <w:p w14:paraId="4C7A3314" w14:textId="77777777" w:rsidR="00863EF0" w:rsidRPr="00906640" w:rsidRDefault="00863EF0" w:rsidP="00863EF0">
      <w:pPr>
        <w:spacing w:after="0" w:line="0" w:lineRule="atLeast"/>
        <w:jc w:val="both"/>
        <w:rPr>
          <w:rFonts w:ascii="Times New Roman" w:eastAsia="Times New Roman" w:hAnsi="Times New Roman" w:cs="Times New Roman"/>
          <w:sz w:val="24"/>
          <w:szCs w:val="24"/>
          <w:lang w:eastAsia="hr-HR"/>
        </w:rPr>
      </w:pPr>
      <w:r w:rsidRPr="00906640">
        <w:rPr>
          <w:rFonts w:ascii="Times New Roman" w:eastAsia="Times New Roman" w:hAnsi="Times New Roman" w:cs="Times New Roman"/>
          <w:sz w:val="24"/>
          <w:szCs w:val="24"/>
          <w:lang w:eastAsia="hr-HR"/>
        </w:rPr>
        <w:t>Analize zaprimljenih gotovinskih transakcija u 202</w:t>
      </w:r>
      <w:r>
        <w:rPr>
          <w:rFonts w:ascii="Times New Roman" w:eastAsia="Times New Roman" w:hAnsi="Times New Roman" w:cs="Times New Roman"/>
          <w:sz w:val="24"/>
          <w:szCs w:val="24"/>
          <w:lang w:eastAsia="hr-HR"/>
        </w:rPr>
        <w:t>2</w:t>
      </w:r>
      <w:r w:rsidRPr="00906640">
        <w:rPr>
          <w:rFonts w:ascii="Times New Roman" w:eastAsia="Times New Roman" w:hAnsi="Times New Roman" w:cs="Times New Roman"/>
          <w:sz w:val="24"/>
          <w:szCs w:val="24"/>
          <w:lang w:eastAsia="hr-HR"/>
        </w:rPr>
        <w:t xml:space="preserve">. temelje se na analizama određenih obilježja gotovinskih transakcija, a koja proizlaze iz podataka koje zakonski obveznici (banke i drugi) dostavljaju Uredu sukladno odredbama članka 61. Zakona putem Obrasca za obavještavanje Ureda o gotovinskoj transakciji u vrijednosti od 200.000 kuna i većoj (Obrazac UZSPN-O-61) koji je sastavni dio </w:t>
      </w:r>
      <w:hyperlink r:id="rId23" w:history="1">
        <w:r w:rsidRPr="00906640">
          <w:rPr>
            <w:rFonts w:ascii="Times New Roman" w:eastAsia="Times New Roman" w:hAnsi="Times New Roman" w:cs="Times New Roman"/>
            <w:sz w:val="24"/>
            <w:szCs w:val="24"/>
            <w:lang w:eastAsia="hr-HR"/>
          </w:rPr>
          <w:t>Pravilnika o obavještavanju Ureda za sprječavanje pranja novca o gotovinskoj transakciji u vrijednosti od 200.000,00 kuna i većoj („Narodne novine“ br. 1/19)</w:t>
        </w:r>
      </w:hyperlink>
      <w:r w:rsidRPr="00906640">
        <w:rPr>
          <w:rFonts w:ascii="Times New Roman" w:eastAsia="Times New Roman" w:hAnsi="Times New Roman" w:cs="Times New Roman"/>
          <w:sz w:val="24"/>
          <w:szCs w:val="24"/>
          <w:lang w:eastAsia="hr-HR"/>
        </w:rPr>
        <w:t xml:space="preserve">. </w:t>
      </w:r>
    </w:p>
    <w:p w14:paraId="07066893" w14:textId="77777777" w:rsidR="00863EF0" w:rsidRPr="00906640" w:rsidRDefault="00863EF0" w:rsidP="00863EF0">
      <w:pPr>
        <w:spacing w:after="0" w:line="240" w:lineRule="auto"/>
        <w:jc w:val="both"/>
        <w:rPr>
          <w:rFonts w:ascii="Times New Roman" w:eastAsia="Calibri" w:hAnsi="Times New Roman" w:cs="Times New Roman"/>
          <w:b/>
          <w:sz w:val="24"/>
          <w:szCs w:val="24"/>
        </w:rPr>
      </w:pPr>
    </w:p>
    <w:p w14:paraId="0C59CE0F" w14:textId="47F075EB" w:rsidR="006E0F92" w:rsidRPr="009641B8" w:rsidRDefault="00863EF0" w:rsidP="006E0F92">
      <w:pPr>
        <w:spacing w:after="0" w:line="0" w:lineRule="atLeast"/>
        <w:jc w:val="both"/>
        <w:rPr>
          <w:rFonts w:ascii="Times New Roman" w:eastAsia="Times New Roman" w:hAnsi="Times New Roman" w:cs="Times New Roman"/>
          <w:sz w:val="24"/>
          <w:szCs w:val="24"/>
          <w:lang w:eastAsia="hr-HR"/>
        </w:rPr>
      </w:pPr>
      <w:r w:rsidRPr="00714497">
        <w:rPr>
          <w:rFonts w:ascii="Times New Roman" w:eastAsia="Calibri" w:hAnsi="Times New Roman" w:cs="Times New Roman"/>
          <w:sz w:val="24"/>
          <w:szCs w:val="24"/>
        </w:rPr>
        <w:lastRenderedPageBreak/>
        <w:t>Ured u svojim evidencijama raspolaže s podatcima o gotovinskim transakcijama u vrijednosti od 200.000,00 kn i većoj koje Uredu prijave banke i drugi obveznici. Dakle, Ured u svojim bazama ima statističku evidenciju o onim gotovinskim transakcijama (200.000,00 kn i većoj) koje su Uredu banke i dr. obveznici prijavili na temelju Zakona. Statističke podatke o svim gotovinskim platnim transakcijama neovisno o vrijednosti transakcije prikuplja, statistički obrađuje i objavljuje Hrvatska narodna banka.</w:t>
      </w:r>
      <w:r w:rsidR="006E0F92" w:rsidRPr="006E0F92">
        <w:rPr>
          <w:rFonts w:ascii="Times New Roman" w:eastAsia="Times New Roman" w:hAnsi="Times New Roman" w:cs="Times New Roman"/>
          <w:sz w:val="24"/>
          <w:szCs w:val="24"/>
          <w:lang w:eastAsia="hr-HR"/>
        </w:rPr>
        <w:t xml:space="preserve"> </w:t>
      </w:r>
      <w:r w:rsidR="006E0F92" w:rsidRPr="004665E0">
        <w:rPr>
          <w:rFonts w:ascii="Times New Roman" w:eastAsia="Times New Roman" w:hAnsi="Times New Roman" w:cs="Times New Roman"/>
          <w:sz w:val="24"/>
          <w:szCs w:val="24"/>
          <w:lang w:eastAsia="hr-HR"/>
        </w:rPr>
        <w:t xml:space="preserve">Ovaj izvještaj prikazuje podatke </w:t>
      </w:r>
      <w:r w:rsidR="006E0F92">
        <w:rPr>
          <w:rFonts w:ascii="Times New Roman" w:eastAsia="Times New Roman" w:hAnsi="Times New Roman" w:cs="Times New Roman"/>
          <w:sz w:val="24"/>
          <w:szCs w:val="24"/>
          <w:lang w:eastAsia="hr-HR"/>
        </w:rPr>
        <w:t xml:space="preserve"> </w:t>
      </w:r>
      <w:r w:rsidR="006E0F92" w:rsidRPr="004665E0">
        <w:rPr>
          <w:rFonts w:ascii="Times New Roman" w:eastAsia="Times New Roman" w:hAnsi="Times New Roman" w:cs="Times New Roman"/>
          <w:sz w:val="24"/>
          <w:szCs w:val="24"/>
          <w:lang w:eastAsia="hr-HR"/>
        </w:rPr>
        <w:t xml:space="preserve">o </w:t>
      </w:r>
      <w:r w:rsidR="006E0F92">
        <w:rPr>
          <w:rFonts w:ascii="Times New Roman" w:eastAsia="Times New Roman" w:hAnsi="Times New Roman" w:cs="Times New Roman"/>
          <w:sz w:val="24"/>
          <w:szCs w:val="24"/>
          <w:lang w:eastAsia="hr-HR"/>
        </w:rPr>
        <w:t xml:space="preserve">gotovinskim </w:t>
      </w:r>
      <w:r w:rsidR="006E0F92" w:rsidRPr="004665E0">
        <w:rPr>
          <w:rFonts w:ascii="Times New Roman" w:eastAsia="Times New Roman" w:hAnsi="Times New Roman" w:cs="Times New Roman"/>
          <w:sz w:val="24"/>
          <w:szCs w:val="24"/>
          <w:lang w:eastAsia="hr-HR"/>
        </w:rPr>
        <w:t>transakcijama</w:t>
      </w:r>
      <w:r w:rsidR="006E0F92">
        <w:rPr>
          <w:rFonts w:ascii="Times New Roman" w:eastAsia="Times New Roman" w:hAnsi="Times New Roman" w:cs="Times New Roman"/>
          <w:sz w:val="24"/>
          <w:szCs w:val="24"/>
          <w:lang w:eastAsia="hr-HR"/>
        </w:rPr>
        <w:t xml:space="preserve"> zaprimljenim u 2022</w:t>
      </w:r>
      <w:r w:rsidR="00F05E73">
        <w:rPr>
          <w:rFonts w:ascii="Times New Roman" w:eastAsia="Times New Roman" w:hAnsi="Times New Roman" w:cs="Times New Roman"/>
          <w:sz w:val="24"/>
          <w:szCs w:val="24"/>
          <w:lang w:eastAsia="hr-HR"/>
        </w:rPr>
        <w:t>.</w:t>
      </w:r>
      <w:r w:rsidR="006E0F92">
        <w:rPr>
          <w:rFonts w:ascii="Times New Roman" w:eastAsia="Times New Roman" w:hAnsi="Times New Roman" w:cs="Times New Roman"/>
          <w:sz w:val="24"/>
          <w:szCs w:val="24"/>
          <w:lang w:eastAsia="hr-HR"/>
        </w:rPr>
        <w:t>,</w:t>
      </w:r>
      <w:r w:rsidR="006E0F92" w:rsidRPr="009641B8">
        <w:rPr>
          <w:rFonts w:ascii="Times New Roman" w:eastAsia="Times New Roman" w:hAnsi="Times New Roman" w:cs="Times New Roman"/>
          <w:sz w:val="24"/>
          <w:szCs w:val="24"/>
          <w:lang w:eastAsia="hr-HR"/>
        </w:rPr>
        <w:t xml:space="preserve"> </w:t>
      </w:r>
      <w:r w:rsidR="006E0F92">
        <w:rPr>
          <w:rFonts w:ascii="Times New Roman" w:eastAsia="Times New Roman" w:hAnsi="Times New Roman" w:cs="Times New Roman"/>
          <w:sz w:val="24"/>
          <w:szCs w:val="24"/>
          <w:lang w:eastAsia="hr-HR"/>
        </w:rPr>
        <w:t xml:space="preserve">kao i usporedni podatci </w:t>
      </w:r>
      <w:r w:rsidR="00F05E73">
        <w:rPr>
          <w:rFonts w:ascii="Times New Roman" w:eastAsia="Times New Roman" w:hAnsi="Times New Roman" w:cs="Times New Roman"/>
          <w:sz w:val="24"/>
          <w:szCs w:val="24"/>
          <w:lang w:eastAsia="hr-HR"/>
        </w:rPr>
        <w:t xml:space="preserve">s podatcima o gotovinskim transakcijama </w:t>
      </w:r>
      <w:r w:rsidR="006E0F92">
        <w:rPr>
          <w:rFonts w:ascii="Times New Roman" w:eastAsia="Times New Roman" w:hAnsi="Times New Roman" w:cs="Times New Roman"/>
          <w:sz w:val="24"/>
          <w:szCs w:val="24"/>
          <w:lang w:eastAsia="hr-HR"/>
        </w:rPr>
        <w:t xml:space="preserve">za 2021. </w:t>
      </w:r>
    </w:p>
    <w:p w14:paraId="7703AEB7" w14:textId="56652FEB" w:rsidR="00863EF0" w:rsidRPr="00906640" w:rsidRDefault="00863EF0" w:rsidP="00863EF0">
      <w:pPr>
        <w:spacing w:after="0" w:line="240" w:lineRule="auto"/>
        <w:jc w:val="both"/>
        <w:rPr>
          <w:rFonts w:ascii="Times New Roman" w:eastAsia="Calibri" w:hAnsi="Times New Roman" w:cs="Times New Roman"/>
          <w:b/>
          <w:sz w:val="24"/>
          <w:szCs w:val="24"/>
        </w:rPr>
      </w:pPr>
    </w:p>
    <w:p w14:paraId="63529B0A" w14:textId="77777777" w:rsidR="00863EF0" w:rsidRPr="00906640" w:rsidRDefault="00863EF0" w:rsidP="00863EF0">
      <w:pPr>
        <w:spacing w:after="0" w:line="240" w:lineRule="auto"/>
        <w:rPr>
          <w:rFonts w:ascii="Times New Roman" w:eastAsia="Calibri" w:hAnsi="Times New Roman" w:cs="Times New Roman"/>
          <w:b/>
          <w:sz w:val="24"/>
          <w:szCs w:val="24"/>
        </w:rPr>
      </w:pPr>
      <w:r w:rsidRPr="00906640">
        <w:rPr>
          <w:rFonts w:ascii="Times New Roman" w:hAnsi="Times New Roman" w:cs="Times New Roman"/>
          <w:b/>
          <w:sz w:val="24"/>
          <w:szCs w:val="24"/>
        </w:rPr>
        <w:t>Podatci o broju zaprimljenih obavijesti o gotovinskim transakcijama</w:t>
      </w:r>
      <w:r>
        <w:rPr>
          <w:rFonts w:ascii="Times New Roman" w:hAnsi="Times New Roman" w:cs="Times New Roman"/>
          <w:b/>
          <w:sz w:val="24"/>
          <w:szCs w:val="24"/>
        </w:rPr>
        <w:t xml:space="preserve"> u 2022.</w:t>
      </w:r>
    </w:p>
    <w:p w14:paraId="7312B282" w14:textId="77777777" w:rsidR="00863EF0" w:rsidRPr="00906640" w:rsidRDefault="00863EF0" w:rsidP="00863EF0">
      <w:pPr>
        <w:spacing w:after="0" w:line="240" w:lineRule="auto"/>
        <w:jc w:val="both"/>
        <w:rPr>
          <w:rFonts w:ascii="Times New Roman" w:eastAsia="Calibri" w:hAnsi="Times New Roman" w:cs="Times New Roman"/>
          <w:b/>
          <w:sz w:val="24"/>
          <w:szCs w:val="24"/>
        </w:rPr>
      </w:pPr>
    </w:p>
    <w:p w14:paraId="2F572A4D" w14:textId="4961B66D" w:rsidR="00863EF0" w:rsidRDefault="00863EF0" w:rsidP="00863EF0">
      <w:pPr>
        <w:spacing w:after="0" w:line="240" w:lineRule="auto"/>
        <w:ind w:right="-128"/>
        <w:jc w:val="both"/>
        <w:rPr>
          <w:rFonts w:ascii="Times New Roman" w:eastAsia="Calibri" w:hAnsi="Times New Roman" w:cs="Times New Roman"/>
          <w:sz w:val="24"/>
          <w:szCs w:val="24"/>
        </w:rPr>
      </w:pPr>
      <w:r w:rsidRPr="00906640">
        <w:rPr>
          <w:rFonts w:ascii="Times New Roman" w:eastAsia="Calibri" w:hAnsi="Times New Roman" w:cs="Times New Roman"/>
          <w:sz w:val="24"/>
          <w:szCs w:val="24"/>
        </w:rPr>
        <w:t xml:space="preserve">U Grafikonu </w:t>
      </w:r>
      <w:r>
        <w:rPr>
          <w:rFonts w:ascii="Times New Roman" w:eastAsia="Calibri" w:hAnsi="Times New Roman" w:cs="Times New Roman"/>
          <w:sz w:val="24"/>
          <w:szCs w:val="24"/>
        </w:rPr>
        <w:t>7</w:t>
      </w:r>
      <w:r w:rsidRPr="00906640">
        <w:rPr>
          <w:rFonts w:ascii="Times New Roman" w:eastAsia="Calibri" w:hAnsi="Times New Roman" w:cs="Times New Roman"/>
          <w:sz w:val="24"/>
          <w:szCs w:val="24"/>
        </w:rPr>
        <w:t>. prikazan je broj zaprimljenih obavijesti o gotovinskim transakcijama</w:t>
      </w:r>
      <w:r w:rsidR="002118EE">
        <w:rPr>
          <w:rFonts w:ascii="Times New Roman" w:eastAsia="Calibri" w:hAnsi="Times New Roman" w:cs="Times New Roman"/>
          <w:sz w:val="24"/>
          <w:szCs w:val="24"/>
        </w:rPr>
        <w:t xml:space="preserve"> (obrazaca</w:t>
      </w:r>
      <w:r w:rsidR="00F05E73">
        <w:rPr>
          <w:rFonts w:ascii="Times New Roman" w:eastAsia="Calibri" w:hAnsi="Times New Roman" w:cs="Times New Roman"/>
          <w:sz w:val="24"/>
          <w:szCs w:val="24"/>
        </w:rPr>
        <w:t>)</w:t>
      </w:r>
      <w:r w:rsidRPr="00906640">
        <w:rPr>
          <w:rFonts w:ascii="Times New Roman" w:eastAsia="Calibri" w:hAnsi="Times New Roman" w:cs="Times New Roman"/>
          <w:sz w:val="24"/>
          <w:szCs w:val="24"/>
        </w:rPr>
        <w:t xml:space="preserve"> u razdoblju 2017. - 2022. </w:t>
      </w:r>
    </w:p>
    <w:p w14:paraId="3DFE963A" w14:textId="77777777" w:rsidR="00863EF0" w:rsidRDefault="00863EF0" w:rsidP="00863EF0">
      <w:pPr>
        <w:spacing w:after="0" w:line="240" w:lineRule="auto"/>
        <w:ind w:right="-128"/>
        <w:jc w:val="both"/>
        <w:rPr>
          <w:rFonts w:ascii="Times New Roman" w:eastAsia="Calibri" w:hAnsi="Times New Roman" w:cs="Times New Roman"/>
          <w:sz w:val="24"/>
          <w:szCs w:val="24"/>
        </w:rPr>
      </w:pPr>
    </w:p>
    <w:p w14:paraId="6AD60922" w14:textId="77777777" w:rsidR="00863EF0" w:rsidRPr="00906640" w:rsidRDefault="00863EF0" w:rsidP="00863EF0">
      <w:pPr>
        <w:spacing w:after="0" w:line="240" w:lineRule="auto"/>
        <w:ind w:right="-128"/>
        <w:jc w:val="center"/>
        <w:rPr>
          <w:rFonts w:ascii="Times New Roman" w:eastAsia="Calibri" w:hAnsi="Times New Roman" w:cs="Times New Roman"/>
          <w:sz w:val="24"/>
          <w:szCs w:val="24"/>
        </w:rPr>
      </w:pPr>
      <w:r>
        <w:rPr>
          <w:rFonts w:ascii="Times New Roman" w:eastAsia="Calibri" w:hAnsi="Times New Roman" w:cs="Times New Roman"/>
          <w:noProof/>
          <w:sz w:val="24"/>
          <w:szCs w:val="24"/>
          <w:lang w:eastAsia="hr-HR"/>
        </w:rPr>
        <w:drawing>
          <wp:inline distT="0" distB="0" distL="0" distR="0" wp14:anchorId="50665F77" wp14:editId="483D3422">
            <wp:extent cx="4492810" cy="1876425"/>
            <wp:effectExtent l="0" t="0" r="3175" b="0"/>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05611" cy="1881771"/>
                    </a:xfrm>
                    <a:prstGeom prst="rect">
                      <a:avLst/>
                    </a:prstGeom>
                    <a:noFill/>
                  </pic:spPr>
                </pic:pic>
              </a:graphicData>
            </a:graphic>
          </wp:inline>
        </w:drawing>
      </w:r>
    </w:p>
    <w:p w14:paraId="302943EE" w14:textId="77777777" w:rsidR="00863EF0" w:rsidRPr="00906640" w:rsidRDefault="00863EF0" w:rsidP="00863EF0">
      <w:pPr>
        <w:spacing w:after="0" w:line="240" w:lineRule="auto"/>
        <w:ind w:right="-128"/>
        <w:jc w:val="both"/>
        <w:rPr>
          <w:rFonts w:ascii="Times New Roman" w:eastAsia="Calibri" w:hAnsi="Times New Roman" w:cs="Times New Roman"/>
          <w:sz w:val="24"/>
          <w:szCs w:val="24"/>
        </w:rPr>
      </w:pPr>
    </w:p>
    <w:p w14:paraId="3A1FCE90" w14:textId="77777777" w:rsidR="00863EF0" w:rsidRDefault="00863EF0" w:rsidP="00863EF0">
      <w:pPr>
        <w:spacing w:after="0" w:line="240" w:lineRule="auto"/>
        <w:jc w:val="both"/>
        <w:rPr>
          <w:rFonts w:ascii="Times New Roman" w:hAnsi="Times New Roman" w:cs="Times New Roman"/>
          <w:b/>
          <w:sz w:val="24"/>
          <w:szCs w:val="24"/>
        </w:rPr>
      </w:pPr>
    </w:p>
    <w:p w14:paraId="714440A1" w14:textId="04286FCA" w:rsidR="00863EF0" w:rsidRPr="004C08E8" w:rsidRDefault="00863EF0" w:rsidP="00863EF0">
      <w:pPr>
        <w:spacing w:after="0" w:line="240" w:lineRule="auto"/>
        <w:jc w:val="both"/>
        <w:rPr>
          <w:rFonts w:ascii="Times New Roman" w:eastAsia="Calibri" w:hAnsi="Times New Roman" w:cs="Times New Roman"/>
          <w:b/>
          <w:sz w:val="24"/>
          <w:szCs w:val="24"/>
        </w:rPr>
      </w:pPr>
      <w:r w:rsidRPr="004C08E8">
        <w:rPr>
          <w:rFonts w:ascii="Times New Roman" w:hAnsi="Times New Roman" w:cs="Times New Roman"/>
          <w:b/>
          <w:sz w:val="24"/>
          <w:szCs w:val="24"/>
        </w:rPr>
        <w:t xml:space="preserve">Podatci o broju zaprimljenih obavijesti o gotovinskim transakcijama u 2022. po obveznicima </w:t>
      </w:r>
    </w:p>
    <w:p w14:paraId="41E11F48" w14:textId="77777777" w:rsidR="008154A4" w:rsidRDefault="008154A4" w:rsidP="00863EF0">
      <w:pPr>
        <w:spacing w:after="0" w:line="240" w:lineRule="auto"/>
        <w:jc w:val="both"/>
        <w:rPr>
          <w:rFonts w:ascii="Times New Roman" w:eastAsia="Times New Roman" w:hAnsi="Times New Roman" w:cs="Times New Roman"/>
          <w:sz w:val="24"/>
          <w:szCs w:val="24"/>
          <w:lang w:eastAsia="hr-HR"/>
        </w:rPr>
      </w:pPr>
    </w:p>
    <w:p w14:paraId="627043EB" w14:textId="223E0F63" w:rsidR="00863EF0" w:rsidRDefault="00863EF0" w:rsidP="00863EF0">
      <w:pPr>
        <w:spacing w:after="0" w:line="240" w:lineRule="auto"/>
        <w:jc w:val="both"/>
        <w:rPr>
          <w:rFonts w:ascii="Times New Roman" w:hAnsi="Times New Roman" w:cs="Times New Roman"/>
          <w:b/>
          <w:sz w:val="24"/>
          <w:szCs w:val="24"/>
        </w:rPr>
      </w:pPr>
      <w:r w:rsidRPr="004C08E8">
        <w:rPr>
          <w:rFonts w:ascii="Times New Roman" w:eastAsia="Times New Roman" w:hAnsi="Times New Roman" w:cs="Times New Roman"/>
          <w:sz w:val="24"/>
          <w:szCs w:val="24"/>
          <w:lang w:eastAsia="hr-HR"/>
        </w:rPr>
        <w:t xml:space="preserve">U </w:t>
      </w:r>
      <w:r>
        <w:rPr>
          <w:rFonts w:ascii="Times New Roman" w:eastAsia="Times New Roman" w:hAnsi="Times New Roman" w:cs="Times New Roman"/>
          <w:sz w:val="24"/>
          <w:szCs w:val="24"/>
          <w:lang w:eastAsia="hr-HR"/>
        </w:rPr>
        <w:t>T</w:t>
      </w:r>
      <w:r w:rsidRPr="004C08E8">
        <w:rPr>
          <w:rFonts w:ascii="Times New Roman" w:eastAsia="Times New Roman" w:hAnsi="Times New Roman" w:cs="Times New Roman"/>
          <w:sz w:val="24"/>
          <w:szCs w:val="24"/>
          <w:lang w:eastAsia="hr-HR"/>
        </w:rPr>
        <w:t>ablici</w:t>
      </w:r>
      <w:r>
        <w:rPr>
          <w:rFonts w:ascii="Times New Roman" w:eastAsia="Times New Roman" w:hAnsi="Times New Roman" w:cs="Times New Roman"/>
          <w:sz w:val="24"/>
          <w:szCs w:val="24"/>
          <w:lang w:eastAsia="hr-HR"/>
        </w:rPr>
        <w:t xml:space="preserve"> 19</w:t>
      </w:r>
      <w:r w:rsidRPr="004C08E8">
        <w:rPr>
          <w:rFonts w:ascii="Times New Roman" w:eastAsia="Times New Roman" w:hAnsi="Times New Roman" w:cs="Times New Roman"/>
          <w:sz w:val="24"/>
          <w:szCs w:val="24"/>
          <w:lang w:eastAsia="hr-HR"/>
        </w:rPr>
        <w:t>. prikazan je broj/vrijednost i struktura gotovinskih transakcija zaprimljenih u 2021. i 2022. po obveznicima. U tablici</w:t>
      </w:r>
      <w:r w:rsidR="009641B8">
        <w:rPr>
          <w:rFonts w:ascii="Times New Roman" w:eastAsia="Times New Roman" w:hAnsi="Times New Roman" w:cs="Times New Roman"/>
          <w:sz w:val="24"/>
          <w:szCs w:val="24"/>
          <w:lang w:eastAsia="hr-HR"/>
        </w:rPr>
        <w:t xml:space="preserve"> 19</w:t>
      </w:r>
      <w:r w:rsidRPr="004C08E8">
        <w:rPr>
          <w:rFonts w:ascii="Times New Roman" w:eastAsia="Times New Roman" w:hAnsi="Times New Roman" w:cs="Times New Roman"/>
          <w:sz w:val="24"/>
          <w:szCs w:val="24"/>
          <w:lang w:eastAsia="hr-HR"/>
        </w:rPr>
        <w:t xml:space="preserve">. je vidljivo </w:t>
      </w:r>
      <w:r w:rsidRPr="004C08E8">
        <w:rPr>
          <w:rFonts w:ascii="Times New Roman" w:eastAsia="Calibri" w:hAnsi="Times New Roman" w:cs="Times New Roman"/>
          <w:sz w:val="24"/>
          <w:szCs w:val="24"/>
        </w:rPr>
        <w:t>da je najveći broj obavijesti o gotovinskim transakcijama u 2022. kao i u 2021. zaprimljen od banaka.</w:t>
      </w:r>
      <w:r w:rsidRPr="004C08E8">
        <w:rPr>
          <w:rFonts w:ascii="Times New Roman" w:eastAsia="Calibri" w:hAnsi="Times New Roman" w:cs="Times New Roman"/>
          <w:b/>
          <w:sz w:val="24"/>
          <w:szCs w:val="24"/>
        </w:rPr>
        <w:t xml:space="preserve"> </w:t>
      </w:r>
      <w:r w:rsidRPr="004C08E8">
        <w:rPr>
          <w:rFonts w:ascii="Times New Roman" w:eastAsia="Calibri" w:hAnsi="Times New Roman" w:cs="Times New Roman"/>
          <w:sz w:val="24"/>
          <w:szCs w:val="24"/>
        </w:rPr>
        <w:t>Broj zaprimljenih obavijesti o gotovinskim transakcijama u 2022. veći je za 9411 obavijesti o gotovinskim transakcijama odnosno 15,83 % u odnosu na 2021</w:t>
      </w:r>
      <w:r>
        <w:rPr>
          <w:rFonts w:ascii="Times New Roman" w:eastAsia="Calibri" w:hAnsi="Times New Roman" w:cs="Times New Roman"/>
          <w:sz w:val="24"/>
          <w:szCs w:val="24"/>
        </w:rPr>
        <w:t>.</w:t>
      </w:r>
    </w:p>
    <w:p w14:paraId="07EA69B6" w14:textId="77777777" w:rsidR="00863EF0" w:rsidRDefault="00863EF0" w:rsidP="00863EF0">
      <w:pPr>
        <w:spacing w:after="0" w:line="0" w:lineRule="atLeast"/>
        <w:jc w:val="both"/>
        <w:rPr>
          <w:rFonts w:ascii="Times New Roman" w:eastAsia="Calibri" w:hAnsi="Times New Roman" w:cs="Times New Roman"/>
          <w:sz w:val="24"/>
          <w:szCs w:val="24"/>
        </w:rPr>
      </w:pPr>
    </w:p>
    <w:p w14:paraId="46E62EB4" w14:textId="77777777" w:rsidR="00863EF0" w:rsidRPr="004C08E8" w:rsidRDefault="00863EF0" w:rsidP="00863EF0">
      <w:pPr>
        <w:spacing w:after="0" w:line="0" w:lineRule="atLeast"/>
        <w:jc w:val="both"/>
        <w:rPr>
          <w:rFonts w:ascii="Times New Roman" w:eastAsia="Times New Roman" w:hAnsi="Times New Roman" w:cs="Times New Roman"/>
          <w:bCs/>
          <w:sz w:val="24"/>
          <w:szCs w:val="24"/>
          <w:u w:val="single"/>
          <w:lang w:eastAsia="hr-HR"/>
        </w:rPr>
      </w:pPr>
      <w:r w:rsidRPr="004C08E8">
        <w:rPr>
          <w:rFonts w:ascii="Times New Roman" w:eastAsia="Calibri" w:hAnsi="Times New Roman" w:cs="Times New Roman"/>
          <w:sz w:val="24"/>
          <w:szCs w:val="24"/>
        </w:rPr>
        <w:t xml:space="preserve">U 2022. putem 59.895 obavijesti (obrazaca UZSPN-0-61 i pripadajućih privitaka Obrascu) prijavljeno je ukupno 68.843 gotovinskih transakcija. Ukupna vrijednost gotovinskih transakcija u 2022. veća je za </w:t>
      </w:r>
      <w:r>
        <w:rPr>
          <w:rFonts w:ascii="Times New Roman" w:eastAsia="Calibri" w:hAnsi="Times New Roman" w:cs="Times New Roman"/>
          <w:sz w:val="24"/>
          <w:szCs w:val="24"/>
        </w:rPr>
        <w:t xml:space="preserve">17,16 </w:t>
      </w:r>
      <w:r w:rsidRPr="004C08E8">
        <w:rPr>
          <w:rFonts w:ascii="Times New Roman" w:eastAsia="Calibri" w:hAnsi="Times New Roman" w:cs="Times New Roman"/>
          <w:sz w:val="24"/>
          <w:szCs w:val="24"/>
        </w:rPr>
        <w:t>% u odnosu na 2021. U 2022. ukupna vrijednost gotovinskih transakcija iznosila je 25.045.077.239,89 HRK, a u 202</w:t>
      </w:r>
      <w:r>
        <w:rPr>
          <w:rFonts w:ascii="Times New Roman" w:eastAsia="Calibri" w:hAnsi="Times New Roman" w:cs="Times New Roman"/>
          <w:sz w:val="24"/>
          <w:szCs w:val="24"/>
        </w:rPr>
        <w:t>1</w:t>
      </w:r>
      <w:r w:rsidRPr="004C08E8">
        <w:rPr>
          <w:rFonts w:ascii="Times New Roman" w:eastAsia="Calibri" w:hAnsi="Times New Roman" w:cs="Times New Roman"/>
          <w:sz w:val="24"/>
          <w:szCs w:val="24"/>
        </w:rPr>
        <w:t>.</w:t>
      </w:r>
      <w:r w:rsidRPr="004C08E8">
        <w:rPr>
          <w:rFonts w:ascii="Times New Roman" w:eastAsia="Times New Roman" w:hAnsi="Times New Roman" w:cs="Times New Roman"/>
          <w:bCs/>
          <w:sz w:val="24"/>
          <w:szCs w:val="24"/>
          <w:lang w:eastAsia="hr-HR"/>
        </w:rPr>
        <w:t xml:space="preserve"> </w:t>
      </w:r>
      <w:r w:rsidRPr="004C08E8">
        <w:rPr>
          <w:rFonts w:ascii="Times New Roman" w:eastAsia="Calibri" w:hAnsi="Times New Roman" w:cs="Times New Roman"/>
          <w:sz w:val="24"/>
          <w:szCs w:val="24"/>
        </w:rPr>
        <w:t>21.377.494.941,54 HRK</w:t>
      </w:r>
      <w:r w:rsidRPr="004C08E8">
        <w:rPr>
          <w:rFonts w:ascii="Times New Roman" w:eastAsia="Times New Roman" w:hAnsi="Times New Roman" w:cs="Times New Roman"/>
          <w:b/>
          <w:bCs/>
          <w:sz w:val="24"/>
          <w:szCs w:val="24"/>
          <w:lang w:eastAsia="hr-HR"/>
        </w:rPr>
        <w:t>.</w:t>
      </w:r>
    </w:p>
    <w:p w14:paraId="245E5080" w14:textId="4B43DED8" w:rsidR="00863EF0" w:rsidRDefault="00863EF0" w:rsidP="00863EF0">
      <w:pPr>
        <w:spacing w:after="0" w:line="0" w:lineRule="atLeast"/>
        <w:jc w:val="both"/>
        <w:rPr>
          <w:rFonts w:ascii="Times New Roman" w:eastAsia="Times New Roman" w:hAnsi="Times New Roman" w:cs="Times New Roman"/>
          <w:bCs/>
          <w:sz w:val="24"/>
          <w:szCs w:val="24"/>
          <w:u w:val="single"/>
          <w:lang w:eastAsia="hr-HR"/>
        </w:rPr>
      </w:pPr>
    </w:p>
    <w:p w14:paraId="4DA3B8B6" w14:textId="7BE0A6E4" w:rsidR="00863EF0" w:rsidRPr="00863EF0" w:rsidRDefault="00863EF0" w:rsidP="00863EF0">
      <w:pPr>
        <w:spacing w:after="0" w:line="0" w:lineRule="atLeast"/>
        <w:rPr>
          <w:rFonts w:ascii="Times New Roman" w:eastAsia="Times New Roman" w:hAnsi="Times New Roman" w:cs="Times New Roman"/>
          <w:bCs/>
          <w:sz w:val="24"/>
          <w:szCs w:val="24"/>
          <w:lang w:eastAsia="hr-HR"/>
        </w:rPr>
      </w:pPr>
      <w:r w:rsidRPr="00863EF0">
        <w:rPr>
          <w:rFonts w:ascii="Times New Roman" w:eastAsia="Times New Roman" w:hAnsi="Times New Roman" w:cs="Times New Roman"/>
          <w:bCs/>
          <w:sz w:val="24"/>
          <w:szCs w:val="24"/>
          <w:lang w:eastAsia="hr-HR"/>
        </w:rPr>
        <w:t xml:space="preserve">Tablica 19. Broj/vrijednost i struktura gotovinskih transakcija u 2022. po obveznicima </w:t>
      </w:r>
    </w:p>
    <w:tbl>
      <w:tblPr>
        <w:tblpPr w:leftFromText="180" w:rightFromText="180" w:vertAnchor="text" w:horzAnchor="margin" w:tblpXSpec="center" w:tblpY="266"/>
        <w:tblW w:w="10057" w:type="dxa"/>
        <w:tblLook w:val="04A0" w:firstRow="1" w:lastRow="0" w:firstColumn="1" w:lastColumn="0" w:noHBand="0" w:noVBand="1"/>
      </w:tblPr>
      <w:tblGrid>
        <w:gridCol w:w="1189"/>
        <w:gridCol w:w="1086"/>
        <w:gridCol w:w="891"/>
        <w:gridCol w:w="1566"/>
        <w:gridCol w:w="891"/>
        <w:gridCol w:w="1086"/>
        <w:gridCol w:w="891"/>
        <w:gridCol w:w="1566"/>
        <w:gridCol w:w="891"/>
      </w:tblGrid>
      <w:tr w:rsidR="00863EF0" w:rsidRPr="00906640" w14:paraId="748CE64B" w14:textId="77777777" w:rsidTr="00863EF0">
        <w:trPr>
          <w:trHeight w:val="293"/>
        </w:trPr>
        <w:tc>
          <w:tcPr>
            <w:tcW w:w="11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F1F02B" w14:textId="77777777" w:rsidR="00863EF0" w:rsidRPr="0067771A" w:rsidRDefault="00863EF0" w:rsidP="00863EF0">
            <w:pPr>
              <w:spacing w:after="0" w:line="240" w:lineRule="auto"/>
              <w:jc w:val="center"/>
              <w:rPr>
                <w:rFonts w:ascii="Times New Roman" w:eastAsia="Times New Roman" w:hAnsi="Times New Roman" w:cs="Times New Roman"/>
                <w:b/>
                <w:bCs/>
                <w:color w:val="000000"/>
                <w:sz w:val="18"/>
                <w:szCs w:val="18"/>
                <w:lang w:eastAsia="hr-HR"/>
              </w:rPr>
            </w:pPr>
            <w:r w:rsidRPr="0067771A">
              <w:rPr>
                <w:rFonts w:ascii="Times New Roman" w:eastAsia="Times New Roman" w:hAnsi="Times New Roman" w:cs="Times New Roman"/>
                <w:b/>
                <w:bCs/>
                <w:color w:val="000000"/>
                <w:sz w:val="18"/>
                <w:szCs w:val="18"/>
                <w:lang w:eastAsia="hr-HR"/>
              </w:rPr>
              <w:t>Obveznici</w:t>
            </w:r>
          </w:p>
        </w:tc>
        <w:tc>
          <w:tcPr>
            <w:tcW w:w="44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8975121" w14:textId="77777777" w:rsidR="00863EF0" w:rsidRPr="0067771A" w:rsidRDefault="00863EF0" w:rsidP="00863EF0">
            <w:pPr>
              <w:spacing w:after="0" w:line="240" w:lineRule="auto"/>
              <w:jc w:val="center"/>
              <w:rPr>
                <w:rFonts w:ascii="Times New Roman" w:eastAsia="Times New Roman" w:hAnsi="Times New Roman" w:cs="Times New Roman"/>
                <w:b/>
                <w:bCs/>
                <w:color w:val="000000"/>
                <w:sz w:val="18"/>
                <w:szCs w:val="18"/>
                <w:lang w:eastAsia="hr-HR"/>
              </w:rPr>
            </w:pPr>
            <w:r w:rsidRPr="0067771A">
              <w:rPr>
                <w:rFonts w:ascii="Times New Roman" w:eastAsia="Times New Roman" w:hAnsi="Times New Roman" w:cs="Times New Roman"/>
                <w:b/>
                <w:bCs/>
                <w:color w:val="000000"/>
                <w:sz w:val="18"/>
                <w:szCs w:val="18"/>
                <w:lang w:eastAsia="hr-HR"/>
              </w:rPr>
              <w:t>2021.</w:t>
            </w:r>
          </w:p>
        </w:tc>
        <w:tc>
          <w:tcPr>
            <w:tcW w:w="44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3010189C" w14:textId="77777777" w:rsidR="00863EF0" w:rsidRPr="0067771A" w:rsidRDefault="00863EF0" w:rsidP="00863EF0">
            <w:pPr>
              <w:spacing w:after="0" w:line="240" w:lineRule="auto"/>
              <w:jc w:val="center"/>
              <w:rPr>
                <w:rFonts w:ascii="Times New Roman" w:eastAsia="Times New Roman" w:hAnsi="Times New Roman" w:cs="Times New Roman"/>
                <w:b/>
                <w:bCs/>
                <w:color w:val="000000"/>
                <w:sz w:val="18"/>
                <w:szCs w:val="18"/>
                <w:lang w:eastAsia="hr-HR"/>
              </w:rPr>
            </w:pPr>
            <w:r w:rsidRPr="0067771A">
              <w:rPr>
                <w:rFonts w:ascii="Times New Roman" w:eastAsia="Times New Roman" w:hAnsi="Times New Roman" w:cs="Times New Roman"/>
                <w:b/>
                <w:bCs/>
                <w:color w:val="000000"/>
                <w:sz w:val="18"/>
                <w:szCs w:val="18"/>
                <w:lang w:eastAsia="hr-HR"/>
              </w:rPr>
              <w:t>2022.</w:t>
            </w:r>
          </w:p>
        </w:tc>
      </w:tr>
      <w:tr w:rsidR="00863EF0" w:rsidRPr="00906640" w14:paraId="3A18555D" w14:textId="77777777" w:rsidTr="00863EF0">
        <w:trPr>
          <w:trHeight w:val="587"/>
        </w:trPr>
        <w:tc>
          <w:tcPr>
            <w:tcW w:w="1189" w:type="dxa"/>
            <w:vMerge/>
            <w:tcBorders>
              <w:top w:val="single" w:sz="4" w:space="0" w:color="auto"/>
              <w:left w:val="single" w:sz="4" w:space="0" w:color="auto"/>
              <w:bottom w:val="single" w:sz="4" w:space="0" w:color="auto"/>
              <w:right w:val="single" w:sz="4" w:space="0" w:color="auto"/>
            </w:tcBorders>
            <w:vAlign w:val="center"/>
            <w:hideMark/>
          </w:tcPr>
          <w:p w14:paraId="5C6BD257" w14:textId="77777777" w:rsidR="00863EF0" w:rsidRPr="0067771A" w:rsidRDefault="00863EF0" w:rsidP="00863EF0">
            <w:pPr>
              <w:spacing w:after="0" w:line="240" w:lineRule="auto"/>
              <w:rPr>
                <w:rFonts w:ascii="Times New Roman" w:eastAsia="Times New Roman" w:hAnsi="Times New Roman" w:cs="Times New Roman"/>
                <w:b/>
                <w:bCs/>
                <w:color w:val="000000"/>
                <w:sz w:val="18"/>
                <w:szCs w:val="18"/>
                <w:lang w:eastAsia="hr-HR"/>
              </w:rPr>
            </w:pPr>
          </w:p>
        </w:tc>
        <w:tc>
          <w:tcPr>
            <w:tcW w:w="1086" w:type="dxa"/>
            <w:tcBorders>
              <w:top w:val="nil"/>
              <w:left w:val="nil"/>
              <w:bottom w:val="single" w:sz="4" w:space="0" w:color="auto"/>
              <w:right w:val="single" w:sz="4" w:space="0" w:color="auto"/>
            </w:tcBorders>
            <w:shd w:val="clear" w:color="000000" w:fill="EDEDED"/>
            <w:vAlign w:val="center"/>
            <w:hideMark/>
          </w:tcPr>
          <w:p w14:paraId="2F7140A1" w14:textId="77777777" w:rsidR="00863EF0" w:rsidRPr="0067771A" w:rsidRDefault="00863EF0" w:rsidP="00863EF0">
            <w:pPr>
              <w:spacing w:after="0" w:line="240" w:lineRule="auto"/>
              <w:jc w:val="center"/>
              <w:rPr>
                <w:rFonts w:ascii="Times New Roman" w:eastAsia="Times New Roman" w:hAnsi="Times New Roman" w:cs="Times New Roman"/>
                <w:b/>
                <w:bCs/>
                <w:color w:val="000000"/>
                <w:sz w:val="18"/>
                <w:szCs w:val="18"/>
                <w:lang w:eastAsia="hr-HR"/>
              </w:rPr>
            </w:pPr>
            <w:r w:rsidRPr="0067771A">
              <w:rPr>
                <w:rFonts w:ascii="Times New Roman" w:eastAsia="Times New Roman" w:hAnsi="Times New Roman" w:cs="Times New Roman"/>
                <w:b/>
                <w:bCs/>
                <w:color w:val="000000"/>
                <w:sz w:val="18"/>
                <w:szCs w:val="18"/>
                <w:lang w:eastAsia="hr-HR"/>
              </w:rPr>
              <w:t>broj transakcija</w:t>
            </w:r>
          </w:p>
        </w:tc>
        <w:tc>
          <w:tcPr>
            <w:tcW w:w="891" w:type="dxa"/>
            <w:tcBorders>
              <w:top w:val="nil"/>
              <w:left w:val="nil"/>
              <w:bottom w:val="single" w:sz="4" w:space="0" w:color="auto"/>
              <w:right w:val="single" w:sz="4" w:space="0" w:color="auto"/>
            </w:tcBorders>
            <w:shd w:val="clear" w:color="000000" w:fill="EDEDED"/>
            <w:noWrap/>
            <w:vAlign w:val="center"/>
            <w:hideMark/>
          </w:tcPr>
          <w:p w14:paraId="26C91EFB" w14:textId="77777777" w:rsidR="00863EF0" w:rsidRPr="0067771A" w:rsidRDefault="00863EF0" w:rsidP="00863EF0">
            <w:pPr>
              <w:spacing w:after="0" w:line="240" w:lineRule="auto"/>
              <w:jc w:val="center"/>
              <w:rPr>
                <w:rFonts w:ascii="Times New Roman" w:eastAsia="Times New Roman" w:hAnsi="Times New Roman" w:cs="Times New Roman"/>
                <w:b/>
                <w:bCs/>
                <w:color w:val="000000"/>
                <w:sz w:val="18"/>
                <w:szCs w:val="18"/>
                <w:lang w:eastAsia="hr-HR"/>
              </w:rPr>
            </w:pPr>
            <w:r w:rsidRPr="0067771A">
              <w:rPr>
                <w:rFonts w:ascii="Times New Roman" w:eastAsia="Times New Roman" w:hAnsi="Times New Roman" w:cs="Times New Roman"/>
                <w:b/>
                <w:bCs/>
                <w:color w:val="000000"/>
                <w:sz w:val="18"/>
                <w:szCs w:val="18"/>
                <w:lang w:eastAsia="hr-HR"/>
              </w:rPr>
              <w:t>%</w:t>
            </w:r>
          </w:p>
        </w:tc>
        <w:tc>
          <w:tcPr>
            <w:tcW w:w="1566" w:type="dxa"/>
            <w:tcBorders>
              <w:top w:val="nil"/>
              <w:left w:val="nil"/>
              <w:bottom w:val="single" w:sz="4" w:space="0" w:color="auto"/>
              <w:right w:val="single" w:sz="4" w:space="0" w:color="auto"/>
            </w:tcBorders>
            <w:shd w:val="clear" w:color="000000" w:fill="EDEDED"/>
            <w:vAlign w:val="center"/>
            <w:hideMark/>
          </w:tcPr>
          <w:p w14:paraId="0CB64965" w14:textId="77777777" w:rsidR="00863EF0" w:rsidRPr="0067771A" w:rsidRDefault="00863EF0" w:rsidP="00863EF0">
            <w:pPr>
              <w:spacing w:after="0" w:line="240" w:lineRule="auto"/>
              <w:jc w:val="center"/>
              <w:rPr>
                <w:rFonts w:ascii="Times New Roman" w:eastAsia="Times New Roman" w:hAnsi="Times New Roman" w:cs="Times New Roman"/>
                <w:b/>
                <w:bCs/>
                <w:color w:val="000000"/>
                <w:sz w:val="18"/>
                <w:szCs w:val="18"/>
                <w:lang w:eastAsia="hr-HR"/>
              </w:rPr>
            </w:pPr>
            <w:r w:rsidRPr="0067771A">
              <w:rPr>
                <w:rFonts w:ascii="Times New Roman" w:eastAsia="Times New Roman" w:hAnsi="Times New Roman" w:cs="Times New Roman"/>
                <w:b/>
                <w:bCs/>
                <w:color w:val="000000"/>
                <w:sz w:val="18"/>
                <w:szCs w:val="18"/>
                <w:lang w:eastAsia="hr-HR"/>
              </w:rPr>
              <w:t>iznos transakcija/HRK</w:t>
            </w:r>
          </w:p>
        </w:tc>
        <w:tc>
          <w:tcPr>
            <w:tcW w:w="891" w:type="dxa"/>
            <w:tcBorders>
              <w:top w:val="nil"/>
              <w:left w:val="nil"/>
              <w:bottom w:val="single" w:sz="4" w:space="0" w:color="auto"/>
              <w:right w:val="single" w:sz="4" w:space="0" w:color="auto"/>
            </w:tcBorders>
            <w:shd w:val="clear" w:color="000000" w:fill="EDEDED"/>
            <w:vAlign w:val="center"/>
            <w:hideMark/>
          </w:tcPr>
          <w:p w14:paraId="482A62BC" w14:textId="77777777" w:rsidR="00863EF0" w:rsidRPr="0067771A" w:rsidRDefault="00863EF0" w:rsidP="00863EF0">
            <w:pPr>
              <w:spacing w:after="0" w:line="240" w:lineRule="auto"/>
              <w:jc w:val="center"/>
              <w:rPr>
                <w:rFonts w:ascii="Times New Roman" w:eastAsia="Times New Roman" w:hAnsi="Times New Roman" w:cs="Times New Roman"/>
                <w:b/>
                <w:bCs/>
                <w:color w:val="000000"/>
                <w:sz w:val="18"/>
                <w:szCs w:val="18"/>
                <w:lang w:eastAsia="hr-HR"/>
              </w:rPr>
            </w:pPr>
            <w:r w:rsidRPr="0067771A">
              <w:rPr>
                <w:rFonts w:ascii="Times New Roman" w:eastAsia="Times New Roman" w:hAnsi="Times New Roman" w:cs="Times New Roman"/>
                <w:b/>
                <w:bCs/>
                <w:color w:val="000000"/>
                <w:sz w:val="18"/>
                <w:szCs w:val="18"/>
                <w:lang w:eastAsia="hr-HR"/>
              </w:rPr>
              <w:t>%</w:t>
            </w:r>
          </w:p>
        </w:tc>
        <w:tc>
          <w:tcPr>
            <w:tcW w:w="1086" w:type="dxa"/>
            <w:tcBorders>
              <w:top w:val="nil"/>
              <w:left w:val="nil"/>
              <w:bottom w:val="single" w:sz="4" w:space="0" w:color="auto"/>
              <w:right w:val="single" w:sz="4" w:space="0" w:color="auto"/>
            </w:tcBorders>
            <w:shd w:val="clear" w:color="000000" w:fill="EDEDED"/>
            <w:vAlign w:val="center"/>
            <w:hideMark/>
          </w:tcPr>
          <w:p w14:paraId="1D1AA53C" w14:textId="77777777" w:rsidR="00863EF0" w:rsidRPr="0067771A" w:rsidRDefault="00863EF0" w:rsidP="00863EF0">
            <w:pPr>
              <w:spacing w:after="0" w:line="240" w:lineRule="auto"/>
              <w:jc w:val="center"/>
              <w:rPr>
                <w:rFonts w:ascii="Times New Roman" w:eastAsia="Times New Roman" w:hAnsi="Times New Roman" w:cs="Times New Roman"/>
                <w:b/>
                <w:bCs/>
                <w:color w:val="000000"/>
                <w:sz w:val="18"/>
                <w:szCs w:val="18"/>
                <w:lang w:eastAsia="hr-HR"/>
              </w:rPr>
            </w:pPr>
            <w:r w:rsidRPr="0067771A">
              <w:rPr>
                <w:rFonts w:ascii="Times New Roman" w:eastAsia="Times New Roman" w:hAnsi="Times New Roman" w:cs="Times New Roman"/>
                <w:b/>
                <w:bCs/>
                <w:color w:val="000000"/>
                <w:sz w:val="18"/>
                <w:szCs w:val="18"/>
                <w:lang w:eastAsia="hr-HR"/>
              </w:rPr>
              <w:t>broj transakcija</w:t>
            </w:r>
          </w:p>
        </w:tc>
        <w:tc>
          <w:tcPr>
            <w:tcW w:w="891" w:type="dxa"/>
            <w:tcBorders>
              <w:top w:val="nil"/>
              <w:left w:val="nil"/>
              <w:bottom w:val="single" w:sz="4" w:space="0" w:color="auto"/>
              <w:right w:val="single" w:sz="4" w:space="0" w:color="auto"/>
            </w:tcBorders>
            <w:shd w:val="clear" w:color="000000" w:fill="EDEDED"/>
            <w:noWrap/>
            <w:vAlign w:val="center"/>
            <w:hideMark/>
          </w:tcPr>
          <w:p w14:paraId="2241A798" w14:textId="77777777" w:rsidR="00863EF0" w:rsidRPr="0067771A" w:rsidRDefault="00863EF0" w:rsidP="00863EF0">
            <w:pPr>
              <w:spacing w:after="0" w:line="240" w:lineRule="auto"/>
              <w:jc w:val="center"/>
              <w:rPr>
                <w:rFonts w:ascii="Times New Roman" w:eastAsia="Times New Roman" w:hAnsi="Times New Roman" w:cs="Times New Roman"/>
                <w:b/>
                <w:bCs/>
                <w:color w:val="000000"/>
                <w:sz w:val="18"/>
                <w:szCs w:val="18"/>
                <w:lang w:eastAsia="hr-HR"/>
              </w:rPr>
            </w:pPr>
            <w:r w:rsidRPr="0067771A">
              <w:rPr>
                <w:rFonts w:ascii="Times New Roman" w:eastAsia="Times New Roman" w:hAnsi="Times New Roman" w:cs="Times New Roman"/>
                <w:b/>
                <w:bCs/>
                <w:color w:val="000000"/>
                <w:sz w:val="18"/>
                <w:szCs w:val="18"/>
                <w:lang w:eastAsia="hr-HR"/>
              </w:rPr>
              <w:t>%</w:t>
            </w:r>
          </w:p>
        </w:tc>
        <w:tc>
          <w:tcPr>
            <w:tcW w:w="1566" w:type="dxa"/>
            <w:tcBorders>
              <w:top w:val="nil"/>
              <w:left w:val="nil"/>
              <w:bottom w:val="single" w:sz="4" w:space="0" w:color="auto"/>
              <w:right w:val="single" w:sz="4" w:space="0" w:color="auto"/>
            </w:tcBorders>
            <w:shd w:val="clear" w:color="000000" w:fill="EDEDED"/>
            <w:vAlign w:val="center"/>
            <w:hideMark/>
          </w:tcPr>
          <w:p w14:paraId="4BC73FEB" w14:textId="77777777" w:rsidR="00863EF0" w:rsidRPr="0067771A" w:rsidRDefault="00863EF0" w:rsidP="00863EF0">
            <w:pPr>
              <w:spacing w:after="0" w:line="240" w:lineRule="auto"/>
              <w:jc w:val="center"/>
              <w:rPr>
                <w:rFonts w:ascii="Times New Roman" w:eastAsia="Times New Roman" w:hAnsi="Times New Roman" w:cs="Times New Roman"/>
                <w:b/>
                <w:bCs/>
                <w:color w:val="000000"/>
                <w:sz w:val="18"/>
                <w:szCs w:val="18"/>
                <w:lang w:eastAsia="hr-HR"/>
              </w:rPr>
            </w:pPr>
            <w:r w:rsidRPr="0067771A">
              <w:rPr>
                <w:rFonts w:ascii="Times New Roman" w:eastAsia="Times New Roman" w:hAnsi="Times New Roman" w:cs="Times New Roman"/>
                <w:b/>
                <w:bCs/>
                <w:color w:val="000000"/>
                <w:sz w:val="18"/>
                <w:szCs w:val="18"/>
                <w:lang w:eastAsia="hr-HR"/>
              </w:rPr>
              <w:t>iznos transakcija/HRK</w:t>
            </w:r>
          </w:p>
        </w:tc>
        <w:tc>
          <w:tcPr>
            <w:tcW w:w="891" w:type="dxa"/>
            <w:tcBorders>
              <w:top w:val="nil"/>
              <w:left w:val="nil"/>
              <w:bottom w:val="single" w:sz="4" w:space="0" w:color="auto"/>
              <w:right w:val="single" w:sz="4" w:space="0" w:color="auto"/>
            </w:tcBorders>
            <w:shd w:val="clear" w:color="000000" w:fill="EDEDED"/>
            <w:vAlign w:val="center"/>
            <w:hideMark/>
          </w:tcPr>
          <w:p w14:paraId="35EC0213" w14:textId="77777777" w:rsidR="00863EF0" w:rsidRPr="0067771A" w:rsidRDefault="00863EF0" w:rsidP="00863EF0">
            <w:pPr>
              <w:spacing w:after="0" w:line="240" w:lineRule="auto"/>
              <w:jc w:val="center"/>
              <w:rPr>
                <w:rFonts w:ascii="Times New Roman" w:eastAsia="Times New Roman" w:hAnsi="Times New Roman" w:cs="Times New Roman"/>
                <w:b/>
                <w:bCs/>
                <w:color w:val="000000"/>
                <w:sz w:val="18"/>
                <w:szCs w:val="18"/>
                <w:lang w:eastAsia="hr-HR"/>
              </w:rPr>
            </w:pPr>
            <w:r w:rsidRPr="0067771A">
              <w:rPr>
                <w:rFonts w:ascii="Times New Roman" w:eastAsia="Times New Roman" w:hAnsi="Times New Roman" w:cs="Times New Roman"/>
                <w:b/>
                <w:bCs/>
                <w:color w:val="000000"/>
                <w:sz w:val="18"/>
                <w:szCs w:val="18"/>
                <w:lang w:eastAsia="hr-HR"/>
              </w:rPr>
              <w:t>%</w:t>
            </w:r>
          </w:p>
        </w:tc>
      </w:tr>
      <w:tr w:rsidR="00863EF0" w:rsidRPr="00906640" w14:paraId="155A4D5B" w14:textId="77777777" w:rsidTr="00863EF0">
        <w:trPr>
          <w:trHeight w:val="279"/>
        </w:trPr>
        <w:tc>
          <w:tcPr>
            <w:tcW w:w="1189" w:type="dxa"/>
            <w:tcBorders>
              <w:top w:val="nil"/>
              <w:left w:val="single" w:sz="4" w:space="0" w:color="auto"/>
              <w:bottom w:val="single" w:sz="4" w:space="0" w:color="auto"/>
              <w:right w:val="single" w:sz="4" w:space="0" w:color="auto"/>
            </w:tcBorders>
            <w:shd w:val="clear" w:color="auto" w:fill="auto"/>
            <w:vAlign w:val="center"/>
            <w:hideMark/>
          </w:tcPr>
          <w:p w14:paraId="528FAF0B" w14:textId="77777777" w:rsidR="00863EF0" w:rsidRPr="00375117" w:rsidRDefault="00863EF0" w:rsidP="00863EF0">
            <w:pPr>
              <w:spacing w:after="0" w:line="240" w:lineRule="auto"/>
              <w:rPr>
                <w:rFonts w:ascii="Times New Roman" w:eastAsia="Times New Roman" w:hAnsi="Times New Roman" w:cs="Times New Roman"/>
                <w:bCs/>
                <w:color w:val="000000"/>
                <w:sz w:val="18"/>
                <w:szCs w:val="18"/>
                <w:lang w:eastAsia="hr-HR"/>
              </w:rPr>
            </w:pPr>
            <w:r w:rsidRPr="00375117">
              <w:rPr>
                <w:rFonts w:ascii="Times New Roman" w:eastAsia="Times New Roman" w:hAnsi="Times New Roman" w:cs="Times New Roman"/>
                <w:bCs/>
                <w:color w:val="000000"/>
                <w:sz w:val="18"/>
                <w:szCs w:val="18"/>
                <w:lang w:eastAsia="hr-HR"/>
              </w:rPr>
              <w:t>banke</w:t>
            </w:r>
          </w:p>
        </w:tc>
        <w:tc>
          <w:tcPr>
            <w:tcW w:w="1086" w:type="dxa"/>
            <w:tcBorders>
              <w:top w:val="nil"/>
              <w:left w:val="nil"/>
              <w:bottom w:val="single" w:sz="4" w:space="0" w:color="auto"/>
              <w:right w:val="single" w:sz="4" w:space="0" w:color="auto"/>
            </w:tcBorders>
            <w:shd w:val="clear" w:color="000000" w:fill="EDEDED"/>
            <w:noWrap/>
            <w:vAlign w:val="center"/>
            <w:hideMark/>
          </w:tcPr>
          <w:p w14:paraId="6D3B262A" w14:textId="77777777" w:rsidR="00863EF0" w:rsidRPr="00863EF0" w:rsidRDefault="00863EF0" w:rsidP="00863EF0">
            <w:pPr>
              <w:spacing w:after="0" w:line="240" w:lineRule="auto"/>
              <w:jc w:val="center"/>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58.385</w:t>
            </w:r>
          </w:p>
        </w:tc>
        <w:tc>
          <w:tcPr>
            <w:tcW w:w="891" w:type="dxa"/>
            <w:tcBorders>
              <w:top w:val="nil"/>
              <w:left w:val="nil"/>
              <w:bottom w:val="single" w:sz="4" w:space="0" w:color="auto"/>
              <w:right w:val="single" w:sz="4" w:space="0" w:color="auto"/>
            </w:tcBorders>
            <w:shd w:val="clear" w:color="auto" w:fill="auto"/>
            <w:noWrap/>
            <w:vAlign w:val="center"/>
            <w:hideMark/>
          </w:tcPr>
          <w:p w14:paraId="11340C0D"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98,24%</w:t>
            </w:r>
          </w:p>
        </w:tc>
        <w:tc>
          <w:tcPr>
            <w:tcW w:w="1566" w:type="dxa"/>
            <w:tcBorders>
              <w:top w:val="nil"/>
              <w:left w:val="nil"/>
              <w:bottom w:val="single" w:sz="4" w:space="0" w:color="auto"/>
              <w:right w:val="single" w:sz="4" w:space="0" w:color="auto"/>
            </w:tcBorders>
            <w:shd w:val="clear" w:color="000000" w:fill="EDEDED"/>
            <w:vAlign w:val="center"/>
            <w:hideMark/>
          </w:tcPr>
          <w:p w14:paraId="14BF0CB1" w14:textId="77777777" w:rsidR="00863EF0" w:rsidRPr="00863EF0" w:rsidRDefault="00863EF0" w:rsidP="00863EF0">
            <w:pPr>
              <w:spacing w:after="0" w:line="240" w:lineRule="auto"/>
              <w:jc w:val="right"/>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20.982.416.961,82</w:t>
            </w:r>
          </w:p>
        </w:tc>
        <w:tc>
          <w:tcPr>
            <w:tcW w:w="891" w:type="dxa"/>
            <w:tcBorders>
              <w:top w:val="nil"/>
              <w:left w:val="nil"/>
              <w:bottom w:val="single" w:sz="4" w:space="0" w:color="auto"/>
              <w:right w:val="single" w:sz="4" w:space="0" w:color="auto"/>
            </w:tcBorders>
            <w:shd w:val="clear" w:color="auto" w:fill="auto"/>
            <w:vAlign w:val="center"/>
            <w:hideMark/>
          </w:tcPr>
          <w:p w14:paraId="00569E19"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98,13%</w:t>
            </w:r>
          </w:p>
        </w:tc>
        <w:tc>
          <w:tcPr>
            <w:tcW w:w="1086" w:type="dxa"/>
            <w:tcBorders>
              <w:top w:val="nil"/>
              <w:left w:val="nil"/>
              <w:bottom w:val="single" w:sz="4" w:space="0" w:color="auto"/>
              <w:right w:val="single" w:sz="4" w:space="0" w:color="auto"/>
            </w:tcBorders>
            <w:shd w:val="clear" w:color="000000" w:fill="F2F2F2"/>
            <w:noWrap/>
            <w:vAlign w:val="bottom"/>
            <w:hideMark/>
          </w:tcPr>
          <w:p w14:paraId="15FBD69D" w14:textId="77777777" w:rsidR="00863EF0" w:rsidRPr="00863EF0" w:rsidRDefault="00863EF0" w:rsidP="00863EF0">
            <w:pPr>
              <w:spacing w:after="0" w:line="240" w:lineRule="auto"/>
              <w:jc w:val="center"/>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67.409</w:t>
            </w:r>
          </w:p>
        </w:tc>
        <w:tc>
          <w:tcPr>
            <w:tcW w:w="891" w:type="dxa"/>
            <w:tcBorders>
              <w:top w:val="nil"/>
              <w:left w:val="nil"/>
              <w:bottom w:val="single" w:sz="4" w:space="0" w:color="auto"/>
              <w:right w:val="single" w:sz="4" w:space="0" w:color="auto"/>
            </w:tcBorders>
            <w:shd w:val="clear" w:color="000000" w:fill="F2F2F2"/>
            <w:noWrap/>
            <w:vAlign w:val="bottom"/>
            <w:hideMark/>
          </w:tcPr>
          <w:p w14:paraId="7964FAFB"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97,92%</w:t>
            </w:r>
          </w:p>
        </w:tc>
        <w:tc>
          <w:tcPr>
            <w:tcW w:w="1566" w:type="dxa"/>
            <w:tcBorders>
              <w:top w:val="nil"/>
              <w:left w:val="nil"/>
              <w:bottom w:val="single" w:sz="4" w:space="0" w:color="auto"/>
              <w:right w:val="single" w:sz="4" w:space="0" w:color="auto"/>
            </w:tcBorders>
            <w:shd w:val="clear" w:color="000000" w:fill="F2F2F2"/>
            <w:noWrap/>
            <w:vAlign w:val="bottom"/>
            <w:hideMark/>
          </w:tcPr>
          <w:p w14:paraId="31FD755D" w14:textId="77777777" w:rsidR="00863EF0" w:rsidRPr="00863EF0" w:rsidRDefault="00863EF0" w:rsidP="00863EF0">
            <w:pPr>
              <w:spacing w:after="0" w:line="240" w:lineRule="auto"/>
              <w:jc w:val="right"/>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24.509.558.827,82</w:t>
            </w:r>
          </w:p>
        </w:tc>
        <w:tc>
          <w:tcPr>
            <w:tcW w:w="891" w:type="dxa"/>
            <w:tcBorders>
              <w:top w:val="nil"/>
              <w:left w:val="nil"/>
              <w:bottom w:val="single" w:sz="4" w:space="0" w:color="auto"/>
              <w:right w:val="single" w:sz="4" w:space="0" w:color="auto"/>
            </w:tcBorders>
            <w:shd w:val="clear" w:color="auto" w:fill="auto"/>
            <w:vAlign w:val="center"/>
            <w:hideMark/>
          </w:tcPr>
          <w:p w14:paraId="638C3857"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97,86%</w:t>
            </w:r>
          </w:p>
        </w:tc>
      </w:tr>
      <w:tr w:rsidR="00863EF0" w:rsidRPr="00906640" w14:paraId="27B30691" w14:textId="77777777" w:rsidTr="00863EF0">
        <w:trPr>
          <w:trHeight w:val="447"/>
        </w:trPr>
        <w:tc>
          <w:tcPr>
            <w:tcW w:w="1189" w:type="dxa"/>
            <w:tcBorders>
              <w:top w:val="nil"/>
              <w:left w:val="single" w:sz="4" w:space="0" w:color="auto"/>
              <w:bottom w:val="single" w:sz="4" w:space="0" w:color="auto"/>
              <w:right w:val="single" w:sz="4" w:space="0" w:color="auto"/>
            </w:tcBorders>
            <w:shd w:val="clear" w:color="000000" w:fill="EDEDED"/>
            <w:vAlign w:val="center"/>
            <w:hideMark/>
          </w:tcPr>
          <w:p w14:paraId="4456572D" w14:textId="77777777" w:rsidR="00863EF0" w:rsidRPr="00375117" w:rsidRDefault="00863EF0" w:rsidP="00863EF0">
            <w:pPr>
              <w:spacing w:after="0" w:line="240" w:lineRule="auto"/>
              <w:rPr>
                <w:rFonts w:ascii="Times New Roman" w:eastAsia="Times New Roman" w:hAnsi="Times New Roman" w:cs="Times New Roman"/>
                <w:bCs/>
                <w:color w:val="000000"/>
                <w:sz w:val="18"/>
                <w:szCs w:val="18"/>
                <w:lang w:eastAsia="hr-HR"/>
              </w:rPr>
            </w:pPr>
            <w:r w:rsidRPr="00375117">
              <w:rPr>
                <w:rFonts w:ascii="Times New Roman" w:eastAsia="Times New Roman" w:hAnsi="Times New Roman" w:cs="Times New Roman"/>
                <w:bCs/>
                <w:color w:val="000000"/>
                <w:sz w:val="18"/>
                <w:szCs w:val="18"/>
                <w:lang w:eastAsia="hr-HR"/>
              </w:rPr>
              <w:t>ovlašteni mjenjači</w:t>
            </w:r>
          </w:p>
        </w:tc>
        <w:tc>
          <w:tcPr>
            <w:tcW w:w="1086" w:type="dxa"/>
            <w:tcBorders>
              <w:top w:val="nil"/>
              <w:left w:val="nil"/>
              <w:bottom w:val="single" w:sz="4" w:space="0" w:color="auto"/>
              <w:right w:val="single" w:sz="4" w:space="0" w:color="auto"/>
            </w:tcBorders>
            <w:shd w:val="clear" w:color="000000" w:fill="EDEDED"/>
            <w:noWrap/>
            <w:vAlign w:val="center"/>
            <w:hideMark/>
          </w:tcPr>
          <w:p w14:paraId="3F5B3F40" w14:textId="77777777" w:rsidR="00863EF0" w:rsidRPr="00863EF0" w:rsidRDefault="00863EF0" w:rsidP="00863EF0">
            <w:pPr>
              <w:spacing w:after="0" w:line="240" w:lineRule="auto"/>
              <w:jc w:val="center"/>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625</w:t>
            </w:r>
          </w:p>
        </w:tc>
        <w:tc>
          <w:tcPr>
            <w:tcW w:w="891" w:type="dxa"/>
            <w:tcBorders>
              <w:top w:val="nil"/>
              <w:left w:val="nil"/>
              <w:bottom w:val="single" w:sz="4" w:space="0" w:color="auto"/>
              <w:right w:val="single" w:sz="4" w:space="0" w:color="auto"/>
            </w:tcBorders>
            <w:shd w:val="clear" w:color="000000" w:fill="EDEDED"/>
            <w:noWrap/>
            <w:vAlign w:val="center"/>
            <w:hideMark/>
          </w:tcPr>
          <w:p w14:paraId="2A96554A"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1,05%</w:t>
            </w:r>
          </w:p>
        </w:tc>
        <w:tc>
          <w:tcPr>
            <w:tcW w:w="1566" w:type="dxa"/>
            <w:tcBorders>
              <w:top w:val="nil"/>
              <w:left w:val="nil"/>
              <w:bottom w:val="single" w:sz="4" w:space="0" w:color="auto"/>
              <w:right w:val="single" w:sz="4" w:space="0" w:color="auto"/>
            </w:tcBorders>
            <w:shd w:val="clear" w:color="000000" w:fill="EDEDED"/>
            <w:vAlign w:val="center"/>
            <w:hideMark/>
          </w:tcPr>
          <w:p w14:paraId="6452C5F5" w14:textId="77777777" w:rsidR="00863EF0" w:rsidRPr="00863EF0" w:rsidRDefault="00863EF0" w:rsidP="00863EF0">
            <w:pPr>
              <w:spacing w:after="0" w:line="240" w:lineRule="auto"/>
              <w:jc w:val="right"/>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231.973.082,03</w:t>
            </w:r>
          </w:p>
        </w:tc>
        <w:tc>
          <w:tcPr>
            <w:tcW w:w="891" w:type="dxa"/>
            <w:tcBorders>
              <w:top w:val="nil"/>
              <w:left w:val="nil"/>
              <w:bottom w:val="single" w:sz="4" w:space="0" w:color="auto"/>
              <w:right w:val="single" w:sz="4" w:space="0" w:color="auto"/>
            </w:tcBorders>
            <w:shd w:val="clear" w:color="000000" w:fill="EDEDED"/>
            <w:vAlign w:val="center"/>
            <w:hideMark/>
          </w:tcPr>
          <w:p w14:paraId="56812C2F"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1,10%</w:t>
            </w:r>
          </w:p>
        </w:tc>
        <w:tc>
          <w:tcPr>
            <w:tcW w:w="1086" w:type="dxa"/>
            <w:tcBorders>
              <w:top w:val="nil"/>
              <w:left w:val="nil"/>
              <w:bottom w:val="single" w:sz="4" w:space="0" w:color="auto"/>
              <w:right w:val="single" w:sz="4" w:space="0" w:color="auto"/>
            </w:tcBorders>
            <w:shd w:val="clear" w:color="000000" w:fill="F2F2F2"/>
            <w:noWrap/>
            <w:vAlign w:val="center"/>
            <w:hideMark/>
          </w:tcPr>
          <w:p w14:paraId="3488DB4B" w14:textId="77777777" w:rsidR="00863EF0" w:rsidRPr="00863EF0" w:rsidRDefault="00863EF0" w:rsidP="00863EF0">
            <w:pPr>
              <w:spacing w:after="0" w:line="240" w:lineRule="auto"/>
              <w:jc w:val="center"/>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788</w:t>
            </w:r>
          </w:p>
        </w:tc>
        <w:tc>
          <w:tcPr>
            <w:tcW w:w="891" w:type="dxa"/>
            <w:tcBorders>
              <w:top w:val="nil"/>
              <w:left w:val="nil"/>
              <w:bottom w:val="single" w:sz="4" w:space="0" w:color="auto"/>
              <w:right w:val="single" w:sz="4" w:space="0" w:color="auto"/>
            </w:tcBorders>
            <w:shd w:val="clear" w:color="000000" w:fill="F2F2F2"/>
            <w:noWrap/>
            <w:vAlign w:val="center"/>
            <w:hideMark/>
          </w:tcPr>
          <w:p w14:paraId="0151AC62"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1,14%</w:t>
            </w:r>
          </w:p>
        </w:tc>
        <w:tc>
          <w:tcPr>
            <w:tcW w:w="1566" w:type="dxa"/>
            <w:tcBorders>
              <w:top w:val="nil"/>
              <w:left w:val="nil"/>
              <w:bottom w:val="single" w:sz="4" w:space="0" w:color="auto"/>
              <w:right w:val="single" w:sz="4" w:space="0" w:color="auto"/>
            </w:tcBorders>
            <w:shd w:val="clear" w:color="000000" w:fill="F2F2F2"/>
            <w:noWrap/>
            <w:vAlign w:val="center"/>
            <w:hideMark/>
          </w:tcPr>
          <w:p w14:paraId="354EE0CD" w14:textId="77777777" w:rsidR="00863EF0" w:rsidRPr="00863EF0" w:rsidRDefault="00863EF0" w:rsidP="00863EF0">
            <w:pPr>
              <w:spacing w:after="0" w:line="240" w:lineRule="auto"/>
              <w:jc w:val="right"/>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289.808.792,45</w:t>
            </w:r>
          </w:p>
        </w:tc>
        <w:tc>
          <w:tcPr>
            <w:tcW w:w="891" w:type="dxa"/>
            <w:tcBorders>
              <w:top w:val="nil"/>
              <w:left w:val="nil"/>
              <w:bottom w:val="single" w:sz="4" w:space="0" w:color="auto"/>
              <w:right w:val="single" w:sz="4" w:space="0" w:color="auto"/>
            </w:tcBorders>
            <w:shd w:val="clear" w:color="auto" w:fill="auto"/>
            <w:vAlign w:val="center"/>
            <w:hideMark/>
          </w:tcPr>
          <w:p w14:paraId="2E12F0F7"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1,16%</w:t>
            </w:r>
          </w:p>
        </w:tc>
      </w:tr>
      <w:tr w:rsidR="00863EF0" w:rsidRPr="00906640" w14:paraId="73EECFCB" w14:textId="77777777" w:rsidTr="00863EF0">
        <w:trPr>
          <w:trHeight w:val="279"/>
        </w:trPr>
        <w:tc>
          <w:tcPr>
            <w:tcW w:w="1189" w:type="dxa"/>
            <w:tcBorders>
              <w:top w:val="nil"/>
              <w:left w:val="single" w:sz="4" w:space="0" w:color="auto"/>
              <w:bottom w:val="single" w:sz="4" w:space="0" w:color="auto"/>
              <w:right w:val="single" w:sz="4" w:space="0" w:color="auto"/>
            </w:tcBorders>
            <w:shd w:val="clear" w:color="auto" w:fill="auto"/>
            <w:vAlign w:val="center"/>
            <w:hideMark/>
          </w:tcPr>
          <w:p w14:paraId="1A0FA7CE" w14:textId="77777777" w:rsidR="00863EF0" w:rsidRPr="00375117" w:rsidRDefault="00863EF0" w:rsidP="00863EF0">
            <w:pPr>
              <w:spacing w:after="0" w:line="240" w:lineRule="auto"/>
              <w:rPr>
                <w:rFonts w:ascii="Times New Roman" w:eastAsia="Times New Roman" w:hAnsi="Times New Roman" w:cs="Times New Roman"/>
                <w:bCs/>
                <w:color w:val="000000"/>
                <w:sz w:val="18"/>
                <w:szCs w:val="18"/>
                <w:lang w:eastAsia="hr-HR"/>
              </w:rPr>
            </w:pPr>
            <w:r w:rsidRPr="00375117">
              <w:rPr>
                <w:rFonts w:ascii="Times New Roman" w:eastAsia="Times New Roman" w:hAnsi="Times New Roman" w:cs="Times New Roman"/>
                <w:bCs/>
                <w:color w:val="000000"/>
                <w:sz w:val="18"/>
                <w:szCs w:val="18"/>
                <w:lang w:eastAsia="hr-HR"/>
              </w:rPr>
              <w:lastRenderedPageBreak/>
              <w:t>kreditne unije</w:t>
            </w:r>
          </w:p>
        </w:tc>
        <w:tc>
          <w:tcPr>
            <w:tcW w:w="1086" w:type="dxa"/>
            <w:tcBorders>
              <w:top w:val="nil"/>
              <w:left w:val="nil"/>
              <w:bottom w:val="single" w:sz="4" w:space="0" w:color="auto"/>
              <w:right w:val="single" w:sz="4" w:space="0" w:color="auto"/>
            </w:tcBorders>
            <w:shd w:val="clear" w:color="000000" w:fill="EDEDED"/>
            <w:noWrap/>
            <w:vAlign w:val="center"/>
            <w:hideMark/>
          </w:tcPr>
          <w:p w14:paraId="65A551BA" w14:textId="77777777" w:rsidR="00863EF0" w:rsidRPr="00863EF0" w:rsidRDefault="00863EF0" w:rsidP="00863EF0">
            <w:pPr>
              <w:spacing w:after="0" w:line="240" w:lineRule="auto"/>
              <w:jc w:val="center"/>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332</w:t>
            </w:r>
          </w:p>
        </w:tc>
        <w:tc>
          <w:tcPr>
            <w:tcW w:w="891" w:type="dxa"/>
            <w:tcBorders>
              <w:top w:val="nil"/>
              <w:left w:val="nil"/>
              <w:bottom w:val="single" w:sz="4" w:space="0" w:color="auto"/>
              <w:right w:val="single" w:sz="4" w:space="0" w:color="auto"/>
            </w:tcBorders>
            <w:shd w:val="clear" w:color="auto" w:fill="auto"/>
            <w:noWrap/>
            <w:vAlign w:val="center"/>
            <w:hideMark/>
          </w:tcPr>
          <w:p w14:paraId="123D447F"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0,56%</w:t>
            </w:r>
          </w:p>
        </w:tc>
        <w:tc>
          <w:tcPr>
            <w:tcW w:w="1566" w:type="dxa"/>
            <w:tcBorders>
              <w:top w:val="nil"/>
              <w:left w:val="nil"/>
              <w:bottom w:val="single" w:sz="4" w:space="0" w:color="auto"/>
              <w:right w:val="single" w:sz="4" w:space="0" w:color="auto"/>
            </w:tcBorders>
            <w:shd w:val="clear" w:color="000000" w:fill="EDEDED"/>
            <w:vAlign w:val="center"/>
            <w:hideMark/>
          </w:tcPr>
          <w:p w14:paraId="537977EE" w14:textId="77777777" w:rsidR="00863EF0" w:rsidRPr="00863EF0" w:rsidRDefault="00863EF0" w:rsidP="00863EF0">
            <w:pPr>
              <w:spacing w:after="0" w:line="240" w:lineRule="auto"/>
              <w:jc w:val="right"/>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134.757.369,51</w:t>
            </w:r>
          </w:p>
        </w:tc>
        <w:tc>
          <w:tcPr>
            <w:tcW w:w="891" w:type="dxa"/>
            <w:tcBorders>
              <w:top w:val="nil"/>
              <w:left w:val="nil"/>
              <w:bottom w:val="single" w:sz="4" w:space="0" w:color="auto"/>
              <w:right w:val="single" w:sz="4" w:space="0" w:color="auto"/>
            </w:tcBorders>
            <w:shd w:val="clear" w:color="auto" w:fill="auto"/>
            <w:vAlign w:val="center"/>
            <w:hideMark/>
          </w:tcPr>
          <w:p w14:paraId="75FABD59"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0,63%</w:t>
            </w:r>
          </w:p>
        </w:tc>
        <w:tc>
          <w:tcPr>
            <w:tcW w:w="1086" w:type="dxa"/>
            <w:tcBorders>
              <w:top w:val="nil"/>
              <w:left w:val="nil"/>
              <w:bottom w:val="single" w:sz="4" w:space="0" w:color="auto"/>
              <w:right w:val="single" w:sz="4" w:space="0" w:color="auto"/>
            </w:tcBorders>
            <w:shd w:val="clear" w:color="000000" w:fill="F2F2F2"/>
            <w:noWrap/>
            <w:vAlign w:val="center"/>
            <w:hideMark/>
          </w:tcPr>
          <w:p w14:paraId="2F3F0202" w14:textId="77777777" w:rsidR="00863EF0" w:rsidRPr="00863EF0" w:rsidRDefault="00863EF0" w:rsidP="00863EF0">
            <w:pPr>
              <w:spacing w:after="0" w:line="240" w:lineRule="auto"/>
              <w:jc w:val="center"/>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431</w:t>
            </w:r>
          </w:p>
        </w:tc>
        <w:tc>
          <w:tcPr>
            <w:tcW w:w="891" w:type="dxa"/>
            <w:tcBorders>
              <w:top w:val="nil"/>
              <w:left w:val="nil"/>
              <w:bottom w:val="single" w:sz="4" w:space="0" w:color="auto"/>
              <w:right w:val="single" w:sz="4" w:space="0" w:color="auto"/>
            </w:tcBorders>
            <w:shd w:val="clear" w:color="000000" w:fill="F2F2F2"/>
            <w:noWrap/>
            <w:vAlign w:val="center"/>
            <w:hideMark/>
          </w:tcPr>
          <w:p w14:paraId="1F3CD82D"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0,63%</w:t>
            </w:r>
          </w:p>
        </w:tc>
        <w:tc>
          <w:tcPr>
            <w:tcW w:w="1566" w:type="dxa"/>
            <w:tcBorders>
              <w:top w:val="nil"/>
              <w:left w:val="nil"/>
              <w:bottom w:val="single" w:sz="4" w:space="0" w:color="auto"/>
              <w:right w:val="single" w:sz="4" w:space="0" w:color="auto"/>
            </w:tcBorders>
            <w:shd w:val="clear" w:color="000000" w:fill="F2F2F2"/>
            <w:noWrap/>
            <w:vAlign w:val="center"/>
            <w:hideMark/>
          </w:tcPr>
          <w:p w14:paraId="7C3DFAD4" w14:textId="77777777" w:rsidR="00863EF0" w:rsidRPr="00863EF0" w:rsidRDefault="00863EF0" w:rsidP="00863EF0">
            <w:pPr>
              <w:spacing w:after="0" w:line="240" w:lineRule="auto"/>
              <w:jc w:val="right"/>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174.106.806,23</w:t>
            </w:r>
          </w:p>
        </w:tc>
        <w:tc>
          <w:tcPr>
            <w:tcW w:w="891" w:type="dxa"/>
            <w:tcBorders>
              <w:top w:val="nil"/>
              <w:left w:val="nil"/>
              <w:bottom w:val="single" w:sz="4" w:space="0" w:color="auto"/>
              <w:right w:val="single" w:sz="4" w:space="0" w:color="auto"/>
            </w:tcBorders>
            <w:shd w:val="clear" w:color="auto" w:fill="auto"/>
            <w:vAlign w:val="center"/>
            <w:hideMark/>
          </w:tcPr>
          <w:p w14:paraId="70CC97F7"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0,70%</w:t>
            </w:r>
          </w:p>
        </w:tc>
      </w:tr>
      <w:tr w:rsidR="00863EF0" w:rsidRPr="00906640" w14:paraId="743C51CD" w14:textId="77777777" w:rsidTr="00863EF0">
        <w:trPr>
          <w:trHeight w:val="447"/>
        </w:trPr>
        <w:tc>
          <w:tcPr>
            <w:tcW w:w="1189" w:type="dxa"/>
            <w:tcBorders>
              <w:top w:val="nil"/>
              <w:left w:val="single" w:sz="4" w:space="0" w:color="auto"/>
              <w:bottom w:val="single" w:sz="4" w:space="0" w:color="auto"/>
              <w:right w:val="single" w:sz="4" w:space="0" w:color="auto"/>
            </w:tcBorders>
            <w:shd w:val="clear" w:color="000000" w:fill="EDEDED"/>
            <w:vAlign w:val="center"/>
            <w:hideMark/>
          </w:tcPr>
          <w:p w14:paraId="2BA6A2B2" w14:textId="77777777" w:rsidR="00863EF0" w:rsidRPr="00375117" w:rsidRDefault="00863EF0" w:rsidP="00863EF0">
            <w:pPr>
              <w:spacing w:after="0" w:line="240" w:lineRule="auto"/>
              <w:rPr>
                <w:rFonts w:ascii="Times New Roman" w:eastAsia="Times New Roman" w:hAnsi="Times New Roman" w:cs="Times New Roman"/>
                <w:bCs/>
                <w:color w:val="000000"/>
                <w:sz w:val="18"/>
                <w:szCs w:val="18"/>
                <w:lang w:eastAsia="hr-HR"/>
              </w:rPr>
            </w:pPr>
            <w:r w:rsidRPr="00375117">
              <w:rPr>
                <w:rFonts w:ascii="Times New Roman" w:eastAsia="Times New Roman" w:hAnsi="Times New Roman" w:cs="Times New Roman"/>
                <w:bCs/>
                <w:color w:val="000000"/>
                <w:sz w:val="18"/>
                <w:szCs w:val="18"/>
                <w:lang w:eastAsia="hr-HR"/>
              </w:rPr>
              <w:t>priređivači igara na sreću</w:t>
            </w:r>
          </w:p>
        </w:tc>
        <w:tc>
          <w:tcPr>
            <w:tcW w:w="1086" w:type="dxa"/>
            <w:tcBorders>
              <w:top w:val="nil"/>
              <w:left w:val="nil"/>
              <w:bottom w:val="single" w:sz="4" w:space="0" w:color="auto"/>
              <w:right w:val="single" w:sz="4" w:space="0" w:color="auto"/>
            </w:tcBorders>
            <w:shd w:val="clear" w:color="000000" w:fill="EDEDED"/>
            <w:noWrap/>
            <w:vAlign w:val="center"/>
            <w:hideMark/>
          </w:tcPr>
          <w:p w14:paraId="32BC5B8F" w14:textId="77777777" w:rsidR="00863EF0" w:rsidRPr="00863EF0" w:rsidRDefault="00863EF0" w:rsidP="00863EF0">
            <w:pPr>
              <w:spacing w:after="0" w:line="240" w:lineRule="auto"/>
              <w:jc w:val="center"/>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82</w:t>
            </w:r>
          </w:p>
        </w:tc>
        <w:tc>
          <w:tcPr>
            <w:tcW w:w="891" w:type="dxa"/>
            <w:tcBorders>
              <w:top w:val="nil"/>
              <w:left w:val="nil"/>
              <w:bottom w:val="single" w:sz="4" w:space="0" w:color="auto"/>
              <w:right w:val="single" w:sz="4" w:space="0" w:color="auto"/>
            </w:tcBorders>
            <w:shd w:val="clear" w:color="000000" w:fill="EDEDED"/>
            <w:noWrap/>
            <w:vAlign w:val="center"/>
            <w:hideMark/>
          </w:tcPr>
          <w:p w14:paraId="7F114F11"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0,14%</w:t>
            </w:r>
          </w:p>
        </w:tc>
        <w:tc>
          <w:tcPr>
            <w:tcW w:w="1566" w:type="dxa"/>
            <w:tcBorders>
              <w:top w:val="nil"/>
              <w:left w:val="nil"/>
              <w:bottom w:val="single" w:sz="4" w:space="0" w:color="auto"/>
              <w:right w:val="single" w:sz="4" w:space="0" w:color="auto"/>
            </w:tcBorders>
            <w:shd w:val="clear" w:color="000000" w:fill="EDEDED"/>
            <w:vAlign w:val="center"/>
            <w:hideMark/>
          </w:tcPr>
          <w:p w14:paraId="56134260" w14:textId="77777777" w:rsidR="00863EF0" w:rsidRPr="00863EF0" w:rsidRDefault="00863EF0" w:rsidP="00863EF0">
            <w:pPr>
              <w:spacing w:after="0" w:line="240" w:lineRule="auto"/>
              <w:jc w:val="right"/>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26.218.064,18</w:t>
            </w:r>
          </w:p>
        </w:tc>
        <w:tc>
          <w:tcPr>
            <w:tcW w:w="891" w:type="dxa"/>
            <w:tcBorders>
              <w:top w:val="nil"/>
              <w:left w:val="nil"/>
              <w:bottom w:val="single" w:sz="4" w:space="0" w:color="auto"/>
              <w:right w:val="single" w:sz="4" w:space="0" w:color="auto"/>
            </w:tcBorders>
            <w:shd w:val="clear" w:color="000000" w:fill="EDEDED"/>
            <w:vAlign w:val="center"/>
            <w:hideMark/>
          </w:tcPr>
          <w:p w14:paraId="3BE638D0"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0,12%</w:t>
            </w:r>
          </w:p>
        </w:tc>
        <w:tc>
          <w:tcPr>
            <w:tcW w:w="1086" w:type="dxa"/>
            <w:tcBorders>
              <w:top w:val="nil"/>
              <w:left w:val="nil"/>
              <w:bottom w:val="single" w:sz="4" w:space="0" w:color="auto"/>
              <w:right w:val="single" w:sz="4" w:space="0" w:color="auto"/>
            </w:tcBorders>
            <w:shd w:val="clear" w:color="000000" w:fill="F2F2F2"/>
            <w:noWrap/>
            <w:vAlign w:val="center"/>
            <w:hideMark/>
          </w:tcPr>
          <w:p w14:paraId="0A1E5889" w14:textId="77777777" w:rsidR="00863EF0" w:rsidRPr="00863EF0" w:rsidRDefault="00863EF0" w:rsidP="00863EF0">
            <w:pPr>
              <w:spacing w:after="0" w:line="240" w:lineRule="auto"/>
              <w:jc w:val="center"/>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174</w:t>
            </w:r>
          </w:p>
        </w:tc>
        <w:tc>
          <w:tcPr>
            <w:tcW w:w="891" w:type="dxa"/>
            <w:tcBorders>
              <w:top w:val="nil"/>
              <w:left w:val="nil"/>
              <w:bottom w:val="single" w:sz="4" w:space="0" w:color="auto"/>
              <w:right w:val="single" w:sz="4" w:space="0" w:color="auto"/>
            </w:tcBorders>
            <w:shd w:val="clear" w:color="000000" w:fill="F2F2F2"/>
            <w:noWrap/>
            <w:vAlign w:val="center"/>
            <w:hideMark/>
          </w:tcPr>
          <w:p w14:paraId="4937327F"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0,25%</w:t>
            </w:r>
          </w:p>
        </w:tc>
        <w:tc>
          <w:tcPr>
            <w:tcW w:w="1566" w:type="dxa"/>
            <w:tcBorders>
              <w:top w:val="nil"/>
              <w:left w:val="nil"/>
              <w:bottom w:val="single" w:sz="4" w:space="0" w:color="auto"/>
              <w:right w:val="single" w:sz="4" w:space="0" w:color="auto"/>
            </w:tcBorders>
            <w:shd w:val="clear" w:color="000000" w:fill="F2F2F2"/>
            <w:noWrap/>
            <w:vAlign w:val="center"/>
            <w:hideMark/>
          </w:tcPr>
          <w:p w14:paraId="65990ADA" w14:textId="77777777" w:rsidR="00863EF0" w:rsidRPr="00863EF0" w:rsidRDefault="00863EF0" w:rsidP="00863EF0">
            <w:pPr>
              <w:spacing w:after="0" w:line="240" w:lineRule="auto"/>
              <w:jc w:val="right"/>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60.338.365,99</w:t>
            </w:r>
          </w:p>
        </w:tc>
        <w:tc>
          <w:tcPr>
            <w:tcW w:w="891" w:type="dxa"/>
            <w:tcBorders>
              <w:top w:val="nil"/>
              <w:left w:val="nil"/>
              <w:bottom w:val="single" w:sz="4" w:space="0" w:color="auto"/>
              <w:right w:val="single" w:sz="4" w:space="0" w:color="auto"/>
            </w:tcBorders>
            <w:shd w:val="clear" w:color="auto" w:fill="auto"/>
            <w:vAlign w:val="center"/>
            <w:hideMark/>
          </w:tcPr>
          <w:p w14:paraId="3B42296F"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0,24%</w:t>
            </w:r>
          </w:p>
        </w:tc>
      </w:tr>
      <w:tr w:rsidR="00863EF0" w:rsidRPr="00906640" w14:paraId="44D0AE11" w14:textId="77777777" w:rsidTr="00863EF0">
        <w:trPr>
          <w:trHeight w:val="279"/>
        </w:trPr>
        <w:tc>
          <w:tcPr>
            <w:tcW w:w="1189" w:type="dxa"/>
            <w:tcBorders>
              <w:top w:val="nil"/>
              <w:left w:val="single" w:sz="4" w:space="0" w:color="auto"/>
              <w:bottom w:val="single" w:sz="4" w:space="0" w:color="auto"/>
              <w:right w:val="single" w:sz="4" w:space="0" w:color="auto"/>
            </w:tcBorders>
            <w:shd w:val="clear" w:color="auto" w:fill="auto"/>
            <w:vAlign w:val="center"/>
            <w:hideMark/>
          </w:tcPr>
          <w:p w14:paraId="491B1471" w14:textId="77777777" w:rsidR="00863EF0" w:rsidRPr="00375117" w:rsidRDefault="00863EF0" w:rsidP="00863EF0">
            <w:pPr>
              <w:spacing w:after="0" w:line="240" w:lineRule="auto"/>
              <w:rPr>
                <w:rFonts w:ascii="Times New Roman" w:eastAsia="Times New Roman" w:hAnsi="Times New Roman" w:cs="Times New Roman"/>
                <w:bCs/>
                <w:color w:val="000000"/>
                <w:sz w:val="18"/>
                <w:szCs w:val="18"/>
                <w:lang w:eastAsia="hr-HR"/>
              </w:rPr>
            </w:pPr>
            <w:r w:rsidRPr="00375117">
              <w:rPr>
                <w:rFonts w:ascii="Times New Roman" w:eastAsia="Times New Roman" w:hAnsi="Times New Roman" w:cs="Times New Roman"/>
                <w:bCs/>
                <w:color w:val="000000"/>
                <w:sz w:val="18"/>
                <w:szCs w:val="18"/>
                <w:lang w:eastAsia="hr-HR"/>
              </w:rPr>
              <w:t>FINA</w:t>
            </w:r>
          </w:p>
        </w:tc>
        <w:tc>
          <w:tcPr>
            <w:tcW w:w="1086" w:type="dxa"/>
            <w:tcBorders>
              <w:top w:val="nil"/>
              <w:left w:val="nil"/>
              <w:bottom w:val="single" w:sz="4" w:space="0" w:color="auto"/>
              <w:right w:val="single" w:sz="4" w:space="0" w:color="auto"/>
            </w:tcBorders>
            <w:shd w:val="clear" w:color="000000" w:fill="EDEDED"/>
            <w:noWrap/>
            <w:vAlign w:val="center"/>
            <w:hideMark/>
          </w:tcPr>
          <w:p w14:paraId="2EEC0D57" w14:textId="77777777" w:rsidR="00863EF0" w:rsidRPr="00863EF0" w:rsidRDefault="00863EF0" w:rsidP="00863EF0">
            <w:pPr>
              <w:spacing w:after="0" w:line="240" w:lineRule="auto"/>
              <w:jc w:val="center"/>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8</w:t>
            </w:r>
          </w:p>
        </w:tc>
        <w:tc>
          <w:tcPr>
            <w:tcW w:w="891" w:type="dxa"/>
            <w:tcBorders>
              <w:top w:val="nil"/>
              <w:left w:val="nil"/>
              <w:bottom w:val="single" w:sz="4" w:space="0" w:color="auto"/>
              <w:right w:val="single" w:sz="4" w:space="0" w:color="auto"/>
            </w:tcBorders>
            <w:shd w:val="clear" w:color="auto" w:fill="auto"/>
            <w:noWrap/>
            <w:vAlign w:val="center"/>
            <w:hideMark/>
          </w:tcPr>
          <w:p w14:paraId="30C897BA"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0,01%</w:t>
            </w:r>
          </w:p>
        </w:tc>
        <w:tc>
          <w:tcPr>
            <w:tcW w:w="1566" w:type="dxa"/>
            <w:tcBorders>
              <w:top w:val="nil"/>
              <w:left w:val="nil"/>
              <w:bottom w:val="single" w:sz="4" w:space="0" w:color="auto"/>
              <w:right w:val="single" w:sz="4" w:space="0" w:color="auto"/>
            </w:tcBorders>
            <w:shd w:val="clear" w:color="000000" w:fill="EDEDED"/>
            <w:vAlign w:val="center"/>
            <w:hideMark/>
          </w:tcPr>
          <w:p w14:paraId="1A717B3C" w14:textId="77777777" w:rsidR="00863EF0" w:rsidRPr="00863EF0" w:rsidRDefault="00863EF0" w:rsidP="00863EF0">
            <w:pPr>
              <w:spacing w:after="0" w:line="240" w:lineRule="auto"/>
              <w:jc w:val="right"/>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2.129.464,00</w:t>
            </w:r>
          </w:p>
        </w:tc>
        <w:tc>
          <w:tcPr>
            <w:tcW w:w="891" w:type="dxa"/>
            <w:tcBorders>
              <w:top w:val="nil"/>
              <w:left w:val="nil"/>
              <w:bottom w:val="single" w:sz="4" w:space="0" w:color="auto"/>
              <w:right w:val="single" w:sz="4" w:space="0" w:color="auto"/>
            </w:tcBorders>
            <w:shd w:val="clear" w:color="auto" w:fill="auto"/>
            <w:vAlign w:val="center"/>
            <w:hideMark/>
          </w:tcPr>
          <w:p w14:paraId="0E917D46"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0,01%</w:t>
            </w:r>
          </w:p>
        </w:tc>
        <w:tc>
          <w:tcPr>
            <w:tcW w:w="1086" w:type="dxa"/>
            <w:tcBorders>
              <w:top w:val="nil"/>
              <w:left w:val="nil"/>
              <w:bottom w:val="single" w:sz="4" w:space="0" w:color="auto"/>
              <w:right w:val="single" w:sz="4" w:space="0" w:color="auto"/>
            </w:tcBorders>
            <w:shd w:val="clear" w:color="000000" w:fill="F2F2F2"/>
            <w:noWrap/>
            <w:vAlign w:val="center"/>
            <w:hideMark/>
          </w:tcPr>
          <w:p w14:paraId="7E7F9D0D" w14:textId="77777777" w:rsidR="00863EF0" w:rsidRPr="00863EF0" w:rsidRDefault="00863EF0" w:rsidP="00863EF0">
            <w:pPr>
              <w:spacing w:after="0" w:line="240" w:lineRule="auto"/>
              <w:jc w:val="center"/>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9</w:t>
            </w:r>
          </w:p>
        </w:tc>
        <w:tc>
          <w:tcPr>
            <w:tcW w:w="891" w:type="dxa"/>
            <w:tcBorders>
              <w:top w:val="nil"/>
              <w:left w:val="nil"/>
              <w:bottom w:val="single" w:sz="4" w:space="0" w:color="auto"/>
              <w:right w:val="single" w:sz="4" w:space="0" w:color="auto"/>
            </w:tcBorders>
            <w:shd w:val="clear" w:color="000000" w:fill="F2F2F2"/>
            <w:noWrap/>
            <w:vAlign w:val="center"/>
            <w:hideMark/>
          </w:tcPr>
          <w:p w14:paraId="00B8E587"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0,01%</w:t>
            </w:r>
          </w:p>
        </w:tc>
        <w:tc>
          <w:tcPr>
            <w:tcW w:w="1566" w:type="dxa"/>
            <w:tcBorders>
              <w:top w:val="nil"/>
              <w:left w:val="nil"/>
              <w:bottom w:val="single" w:sz="4" w:space="0" w:color="auto"/>
              <w:right w:val="single" w:sz="4" w:space="0" w:color="auto"/>
            </w:tcBorders>
            <w:shd w:val="clear" w:color="000000" w:fill="F2F2F2"/>
            <w:noWrap/>
            <w:vAlign w:val="center"/>
            <w:hideMark/>
          </w:tcPr>
          <w:p w14:paraId="504A0B70" w14:textId="77777777" w:rsidR="00863EF0" w:rsidRPr="00863EF0" w:rsidRDefault="00863EF0" w:rsidP="00863EF0">
            <w:pPr>
              <w:spacing w:after="0" w:line="240" w:lineRule="auto"/>
              <w:jc w:val="right"/>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3.167.020,06</w:t>
            </w:r>
          </w:p>
        </w:tc>
        <w:tc>
          <w:tcPr>
            <w:tcW w:w="891" w:type="dxa"/>
            <w:tcBorders>
              <w:top w:val="nil"/>
              <w:left w:val="nil"/>
              <w:bottom w:val="single" w:sz="4" w:space="0" w:color="auto"/>
              <w:right w:val="single" w:sz="4" w:space="0" w:color="auto"/>
            </w:tcBorders>
            <w:shd w:val="clear" w:color="auto" w:fill="auto"/>
            <w:vAlign w:val="center"/>
            <w:hideMark/>
          </w:tcPr>
          <w:p w14:paraId="43A5A5A6"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0,01%</w:t>
            </w:r>
          </w:p>
        </w:tc>
      </w:tr>
      <w:tr w:rsidR="00863EF0" w:rsidRPr="00906640" w14:paraId="68D14868" w14:textId="77777777" w:rsidTr="00863EF0">
        <w:trPr>
          <w:trHeight w:val="747"/>
        </w:trPr>
        <w:tc>
          <w:tcPr>
            <w:tcW w:w="1189" w:type="dxa"/>
            <w:tcBorders>
              <w:top w:val="nil"/>
              <w:left w:val="single" w:sz="4" w:space="0" w:color="auto"/>
              <w:bottom w:val="single" w:sz="4" w:space="0" w:color="auto"/>
              <w:right w:val="single" w:sz="4" w:space="0" w:color="auto"/>
            </w:tcBorders>
            <w:shd w:val="clear" w:color="auto" w:fill="auto"/>
            <w:vAlign w:val="bottom"/>
            <w:hideMark/>
          </w:tcPr>
          <w:p w14:paraId="14B29713" w14:textId="77777777" w:rsidR="00863EF0" w:rsidRPr="00375117" w:rsidRDefault="00863EF0" w:rsidP="00863EF0">
            <w:pPr>
              <w:spacing w:after="0" w:line="240" w:lineRule="auto"/>
              <w:rPr>
                <w:rFonts w:ascii="Times New Roman" w:eastAsia="Times New Roman" w:hAnsi="Times New Roman" w:cs="Times New Roman"/>
                <w:bCs/>
                <w:color w:val="000000"/>
                <w:sz w:val="18"/>
                <w:szCs w:val="18"/>
                <w:lang w:eastAsia="hr-HR"/>
              </w:rPr>
            </w:pPr>
            <w:r w:rsidRPr="00375117">
              <w:rPr>
                <w:rFonts w:ascii="Times New Roman" w:eastAsia="Times New Roman" w:hAnsi="Times New Roman" w:cs="Times New Roman"/>
                <w:bCs/>
                <w:color w:val="000000"/>
                <w:sz w:val="18"/>
                <w:szCs w:val="18"/>
                <w:lang w:eastAsia="hr-HR"/>
              </w:rPr>
              <w:t xml:space="preserve">razmjena virtualnih i fiducijarnih valuta </w:t>
            </w:r>
          </w:p>
        </w:tc>
        <w:tc>
          <w:tcPr>
            <w:tcW w:w="1086" w:type="dxa"/>
            <w:tcBorders>
              <w:top w:val="nil"/>
              <w:left w:val="nil"/>
              <w:bottom w:val="single" w:sz="4" w:space="0" w:color="auto"/>
              <w:right w:val="single" w:sz="4" w:space="0" w:color="auto"/>
            </w:tcBorders>
            <w:shd w:val="clear" w:color="000000" w:fill="EDEDED"/>
            <w:noWrap/>
            <w:vAlign w:val="center"/>
            <w:hideMark/>
          </w:tcPr>
          <w:p w14:paraId="225A5FAA" w14:textId="77777777" w:rsidR="00863EF0" w:rsidRPr="00863EF0" w:rsidRDefault="00863EF0" w:rsidP="00863EF0">
            <w:pPr>
              <w:spacing w:after="0" w:line="240" w:lineRule="auto"/>
              <w:jc w:val="center"/>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0</w:t>
            </w:r>
          </w:p>
        </w:tc>
        <w:tc>
          <w:tcPr>
            <w:tcW w:w="891" w:type="dxa"/>
            <w:tcBorders>
              <w:top w:val="nil"/>
              <w:left w:val="nil"/>
              <w:bottom w:val="single" w:sz="4" w:space="0" w:color="auto"/>
              <w:right w:val="single" w:sz="4" w:space="0" w:color="auto"/>
            </w:tcBorders>
            <w:shd w:val="clear" w:color="auto" w:fill="auto"/>
            <w:noWrap/>
            <w:vAlign w:val="center"/>
            <w:hideMark/>
          </w:tcPr>
          <w:p w14:paraId="0014B33C"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0,00%</w:t>
            </w:r>
          </w:p>
        </w:tc>
        <w:tc>
          <w:tcPr>
            <w:tcW w:w="1566" w:type="dxa"/>
            <w:tcBorders>
              <w:top w:val="nil"/>
              <w:left w:val="nil"/>
              <w:bottom w:val="single" w:sz="4" w:space="0" w:color="auto"/>
              <w:right w:val="single" w:sz="4" w:space="0" w:color="auto"/>
            </w:tcBorders>
            <w:shd w:val="clear" w:color="000000" w:fill="EDEDED"/>
            <w:vAlign w:val="center"/>
            <w:hideMark/>
          </w:tcPr>
          <w:p w14:paraId="352CBA4C" w14:textId="77777777" w:rsidR="00863EF0" w:rsidRPr="00863EF0" w:rsidRDefault="00863EF0" w:rsidP="00863EF0">
            <w:pPr>
              <w:spacing w:after="0" w:line="240" w:lineRule="auto"/>
              <w:jc w:val="right"/>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0,00</w:t>
            </w:r>
          </w:p>
        </w:tc>
        <w:tc>
          <w:tcPr>
            <w:tcW w:w="891" w:type="dxa"/>
            <w:tcBorders>
              <w:top w:val="nil"/>
              <w:left w:val="nil"/>
              <w:bottom w:val="single" w:sz="4" w:space="0" w:color="auto"/>
              <w:right w:val="single" w:sz="4" w:space="0" w:color="auto"/>
            </w:tcBorders>
            <w:shd w:val="clear" w:color="auto" w:fill="auto"/>
            <w:vAlign w:val="center"/>
            <w:hideMark/>
          </w:tcPr>
          <w:p w14:paraId="0FF3C39D"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0,00%</w:t>
            </w:r>
          </w:p>
        </w:tc>
        <w:tc>
          <w:tcPr>
            <w:tcW w:w="1086" w:type="dxa"/>
            <w:tcBorders>
              <w:top w:val="nil"/>
              <w:left w:val="nil"/>
              <w:bottom w:val="single" w:sz="4" w:space="0" w:color="auto"/>
              <w:right w:val="single" w:sz="4" w:space="0" w:color="auto"/>
            </w:tcBorders>
            <w:shd w:val="clear" w:color="000000" w:fill="F2F2F2"/>
            <w:noWrap/>
            <w:vAlign w:val="center"/>
            <w:hideMark/>
          </w:tcPr>
          <w:p w14:paraId="15A42286" w14:textId="77777777" w:rsidR="00863EF0" w:rsidRPr="00863EF0" w:rsidRDefault="00863EF0" w:rsidP="00863EF0">
            <w:pPr>
              <w:spacing w:after="0" w:line="240" w:lineRule="auto"/>
              <w:jc w:val="center"/>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28</w:t>
            </w:r>
          </w:p>
        </w:tc>
        <w:tc>
          <w:tcPr>
            <w:tcW w:w="891" w:type="dxa"/>
            <w:tcBorders>
              <w:top w:val="nil"/>
              <w:left w:val="nil"/>
              <w:bottom w:val="single" w:sz="4" w:space="0" w:color="auto"/>
              <w:right w:val="single" w:sz="4" w:space="0" w:color="auto"/>
            </w:tcBorders>
            <w:shd w:val="clear" w:color="000000" w:fill="F2F2F2"/>
            <w:noWrap/>
            <w:vAlign w:val="center"/>
            <w:hideMark/>
          </w:tcPr>
          <w:p w14:paraId="54CD22E7"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0,04%</w:t>
            </w:r>
          </w:p>
        </w:tc>
        <w:tc>
          <w:tcPr>
            <w:tcW w:w="1566" w:type="dxa"/>
            <w:tcBorders>
              <w:top w:val="nil"/>
              <w:left w:val="nil"/>
              <w:bottom w:val="single" w:sz="4" w:space="0" w:color="auto"/>
              <w:right w:val="single" w:sz="4" w:space="0" w:color="auto"/>
            </w:tcBorders>
            <w:shd w:val="clear" w:color="000000" w:fill="F2F2F2"/>
            <w:noWrap/>
            <w:vAlign w:val="center"/>
            <w:hideMark/>
          </w:tcPr>
          <w:p w14:paraId="5CC0E8E9" w14:textId="77777777" w:rsidR="00863EF0" w:rsidRPr="00863EF0" w:rsidRDefault="00863EF0" w:rsidP="00863EF0">
            <w:pPr>
              <w:spacing w:after="0" w:line="240" w:lineRule="auto"/>
              <w:jc w:val="right"/>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6.496.593,20</w:t>
            </w:r>
          </w:p>
        </w:tc>
        <w:tc>
          <w:tcPr>
            <w:tcW w:w="891" w:type="dxa"/>
            <w:tcBorders>
              <w:top w:val="nil"/>
              <w:left w:val="nil"/>
              <w:bottom w:val="single" w:sz="4" w:space="0" w:color="auto"/>
              <w:right w:val="single" w:sz="4" w:space="0" w:color="auto"/>
            </w:tcBorders>
            <w:shd w:val="clear" w:color="auto" w:fill="auto"/>
            <w:vAlign w:val="center"/>
            <w:hideMark/>
          </w:tcPr>
          <w:p w14:paraId="6FB4092F"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0,03%</w:t>
            </w:r>
          </w:p>
        </w:tc>
      </w:tr>
      <w:tr w:rsidR="00863EF0" w:rsidRPr="00906640" w14:paraId="2880B444" w14:textId="77777777" w:rsidTr="00863EF0">
        <w:trPr>
          <w:trHeight w:val="783"/>
        </w:trPr>
        <w:tc>
          <w:tcPr>
            <w:tcW w:w="1189" w:type="dxa"/>
            <w:tcBorders>
              <w:top w:val="nil"/>
              <w:left w:val="single" w:sz="4" w:space="0" w:color="auto"/>
              <w:bottom w:val="single" w:sz="4" w:space="0" w:color="auto"/>
              <w:right w:val="single" w:sz="4" w:space="0" w:color="auto"/>
            </w:tcBorders>
            <w:shd w:val="clear" w:color="auto" w:fill="auto"/>
            <w:vAlign w:val="bottom"/>
            <w:hideMark/>
          </w:tcPr>
          <w:p w14:paraId="3FD3B332" w14:textId="77777777" w:rsidR="00863EF0" w:rsidRPr="00375117" w:rsidRDefault="00863EF0" w:rsidP="00863EF0">
            <w:pPr>
              <w:spacing w:after="0" w:line="240" w:lineRule="auto"/>
              <w:rPr>
                <w:rFonts w:ascii="Times New Roman" w:eastAsia="Times New Roman" w:hAnsi="Times New Roman" w:cs="Times New Roman"/>
                <w:bCs/>
                <w:color w:val="000000"/>
                <w:sz w:val="18"/>
                <w:szCs w:val="18"/>
                <w:lang w:eastAsia="hr-HR"/>
              </w:rPr>
            </w:pPr>
            <w:r w:rsidRPr="00375117">
              <w:rPr>
                <w:rFonts w:ascii="Times New Roman" w:eastAsia="Times New Roman" w:hAnsi="Times New Roman" w:cs="Times New Roman"/>
                <w:bCs/>
                <w:color w:val="000000"/>
                <w:sz w:val="18"/>
                <w:szCs w:val="18"/>
                <w:lang w:eastAsia="hr-HR"/>
              </w:rPr>
              <w:t>obrada i promet plemenitim kovinama</w:t>
            </w:r>
          </w:p>
        </w:tc>
        <w:tc>
          <w:tcPr>
            <w:tcW w:w="1086" w:type="dxa"/>
            <w:tcBorders>
              <w:top w:val="nil"/>
              <w:left w:val="nil"/>
              <w:bottom w:val="single" w:sz="4" w:space="0" w:color="auto"/>
              <w:right w:val="single" w:sz="4" w:space="0" w:color="auto"/>
            </w:tcBorders>
            <w:shd w:val="clear" w:color="000000" w:fill="EDEDED"/>
            <w:noWrap/>
            <w:vAlign w:val="center"/>
            <w:hideMark/>
          </w:tcPr>
          <w:p w14:paraId="378E50D8" w14:textId="77777777" w:rsidR="00863EF0" w:rsidRPr="00863EF0" w:rsidRDefault="00863EF0" w:rsidP="00863EF0">
            <w:pPr>
              <w:spacing w:after="0" w:line="240" w:lineRule="auto"/>
              <w:jc w:val="center"/>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0</w:t>
            </w:r>
          </w:p>
        </w:tc>
        <w:tc>
          <w:tcPr>
            <w:tcW w:w="891" w:type="dxa"/>
            <w:tcBorders>
              <w:top w:val="nil"/>
              <w:left w:val="nil"/>
              <w:bottom w:val="single" w:sz="4" w:space="0" w:color="auto"/>
              <w:right w:val="single" w:sz="4" w:space="0" w:color="auto"/>
            </w:tcBorders>
            <w:shd w:val="clear" w:color="auto" w:fill="auto"/>
            <w:noWrap/>
            <w:vAlign w:val="center"/>
            <w:hideMark/>
          </w:tcPr>
          <w:p w14:paraId="69C0337A"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0,00%</w:t>
            </w:r>
          </w:p>
        </w:tc>
        <w:tc>
          <w:tcPr>
            <w:tcW w:w="1566" w:type="dxa"/>
            <w:tcBorders>
              <w:top w:val="nil"/>
              <w:left w:val="nil"/>
              <w:bottom w:val="single" w:sz="4" w:space="0" w:color="auto"/>
              <w:right w:val="single" w:sz="4" w:space="0" w:color="auto"/>
            </w:tcBorders>
            <w:shd w:val="clear" w:color="000000" w:fill="EDEDED"/>
            <w:vAlign w:val="center"/>
            <w:hideMark/>
          </w:tcPr>
          <w:p w14:paraId="0D83B454" w14:textId="77777777" w:rsidR="00863EF0" w:rsidRPr="00863EF0" w:rsidRDefault="00863EF0" w:rsidP="00863EF0">
            <w:pPr>
              <w:spacing w:after="0" w:line="240" w:lineRule="auto"/>
              <w:jc w:val="right"/>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0,00</w:t>
            </w:r>
          </w:p>
        </w:tc>
        <w:tc>
          <w:tcPr>
            <w:tcW w:w="891" w:type="dxa"/>
            <w:tcBorders>
              <w:top w:val="nil"/>
              <w:left w:val="nil"/>
              <w:bottom w:val="single" w:sz="4" w:space="0" w:color="auto"/>
              <w:right w:val="single" w:sz="4" w:space="0" w:color="auto"/>
            </w:tcBorders>
            <w:shd w:val="clear" w:color="auto" w:fill="auto"/>
            <w:vAlign w:val="center"/>
            <w:hideMark/>
          </w:tcPr>
          <w:p w14:paraId="10A9A84D"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0,00%</w:t>
            </w:r>
          </w:p>
        </w:tc>
        <w:tc>
          <w:tcPr>
            <w:tcW w:w="1086" w:type="dxa"/>
            <w:tcBorders>
              <w:top w:val="nil"/>
              <w:left w:val="nil"/>
              <w:bottom w:val="single" w:sz="4" w:space="0" w:color="auto"/>
              <w:right w:val="single" w:sz="4" w:space="0" w:color="auto"/>
            </w:tcBorders>
            <w:shd w:val="clear" w:color="000000" w:fill="F2F2F2"/>
            <w:noWrap/>
            <w:vAlign w:val="center"/>
            <w:hideMark/>
          </w:tcPr>
          <w:p w14:paraId="57AA44C6" w14:textId="77777777" w:rsidR="00863EF0" w:rsidRPr="00863EF0" w:rsidRDefault="00863EF0" w:rsidP="00863EF0">
            <w:pPr>
              <w:spacing w:after="0" w:line="240" w:lineRule="auto"/>
              <w:jc w:val="center"/>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2</w:t>
            </w:r>
          </w:p>
        </w:tc>
        <w:tc>
          <w:tcPr>
            <w:tcW w:w="891" w:type="dxa"/>
            <w:tcBorders>
              <w:top w:val="nil"/>
              <w:left w:val="nil"/>
              <w:bottom w:val="single" w:sz="4" w:space="0" w:color="auto"/>
              <w:right w:val="single" w:sz="4" w:space="0" w:color="auto"/>
            </w:tcBorders>
            <w:shd w:val="clear" w:color="000000" w:fill="F2F2F2"/>
            <w:noWrap/>
            <w:vAlign w:val="center"/>
            <w:hideMark/>
          </w:tcPr>
          <w:p w14:paraId="3A1D3F9D"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0,00%</w:t>
            </w:r>
          </w:p>
        </w:tc>
        <w:tc>
          <w:tcPr>
            <w:tcW w:w="1566" w:type="dxa"/>
            <w:tcBorders>
              <w:top w:val="nil"/>
              <w:left w:val="nil"/>
              <w:bottom w:val="single" w:sz="4" w:space="0" w:color="auto"/>
              <w:right w:val="single" w:sz="4" w:space="0" w:color="auto"/>
            </w:tcBorders>
            <w:shd w:val="clear" w:color="000000" w:fill="F2F2F2"/>
            <w:noWrap/>
            <w:vAlign w:val="center"/>
            <w:hideMark/>
          </w:tcPr>
          <w:p w14:paraId="0F1E4227" w14:textId="77777777" w:rsidR="00863EF0" w:rsidRPr="00863EF0" w:rsidRDefault="00863EF0" w:rsidP="00863EF0">
            <w:pPr>
              <w:spacing w:after="0" w:line="240" w:lineRule="auto"/>
              <w:jc w:val="right"/>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487.450,00</w:t>
            </w:r>
          </w:p>
        </w:tc>
        <w:tc>
          <w:tcPr>
            <w:tcW w:w="891" w:type="dxa"/>
            <w:tcBorders>
              <w:top w:val="nil"/>
              <w:left w:val="nil"/>
              <w:bottom w:val="single" w:sz="4" w:space="0" w:color="auto"/>
              <w:right w:val="single" w:sz="4" w:space="0" w:color="auto"/>
            </w:tcBorders>
            <w:shd w:val="clear" w:color="auto" w:fill="auto"/>
            <w:vAlign w:val="center"/>
            <w:hideMark/>
          </w:tcPr>
          <w:p w14:paraId="16DC9D06"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0,00%</w:t>
            </w:r>
          </w:p>
        </w:tc>
      </w:tr>
      <w:tr w:rsidR="00863EF0" w:rsidRPr="00906640" w14:paraId="3597572C" w14:textId="77777777" w:rsidTr="00863EF0">
        <w:trPr>
          <w:trHeight w:val="279"/>
        </w:trPr>
        <w:tc>
          <w:tcPr>
            <w:tcW w:w="1189" w:type="dxa"/>
            <w:tcBorders>
              <w:top w:val="nil"/>
              <w:left w:val="single" w:sz="4" w:space="0" w:color="auto"/>
              <w:bottom w:val="single" w:sz="4" w:space="0" w:color="auto"/>
              <w:right w:val="single" w:sz="4" w:space="0" w:color="auto"/>
            </w:tcBorders>
            <w:shd w:val="clear" w:color="000000" w:fill="EDEDED"/>
            <w:vAlign w:val="center"/>
            <w:hideMark/>
          </w:tcPr>
          <w:p w14:paraId="6C905A4F" w14:textId="77777777" w:rsidR="00863EF0" w:rsidRPr="00375117" w:rsidRDefault="00863EF0" w:rsidP="00863EF0">
            <w:pPr>
              <w:spacing w:after="0" w:line="240" w:lineRule="auto"/>
              <w:rPr>
                <w:rFonts w:ascii="Times New Roman" w:eastAsia="Times New Roman" w:hAnsi="Times New Roman" w:cs="Times New Roman"/>
                <w:bCs/>
                <w:color w:val="000000"/>
                <w:sz w:val="18"/>
                <w:szCs w:val="18"/>
                <w:lang w:eastAsia="hr-HR"/>
              </w:rPr>
            </w:pPr>
            <w:r w:rsidRPr="00375117">
              <w:rPr>
                <w:rFonts w:ascii="Times New Roman" w:eastAsia="Times New Roman" w:hAnsi="Times New Roman" w:cs="Times New Roman"/>
                <w:bCs/>
                <w:color w:val="000000"/>
                <w:sz w:val="18"/>
                <w:szCs w:val="18"/>
                <w:lang w:eastAsia="hr-HR"/>
              </w:rPr>
              <w:t>javni bilježnici</w:t>
            </w:r>
          </w:p>
        </w:tc>
        <w:tc>
          <w:tcPr>
            <w:tcW w:w="1086" w:type="dxa"/>
            <w:tcBorders>
              <w:top w:val="nil"/>
              <w:left w:val="nil"/>
              <w:bottom w:val="single" w:sz="4" w:space="0" w:color="auto"/>
              <w:right w:val="single" w:sz="4" w:space="0" w:color="auto"/>
            </w:tcBorders>
            <w:shd w:val="clear" w:color="000000" w:fill="EDEDED"/>
            <w:noWrap/>
            <w:vAlign w:val="center"/>
            <w:hideMark/>
          </w:tcPr>
          <w:p w14:paraId="78E57F15" w14:textId="77777777" w:rsidR="00863EF0" w:rsidRPr="00863EF0" w:rsidRDefault="00863EF0" w:rsidP="00863EF0">
            <w:pPr>
              <w:spacing w:after="0" w:line="240" w:lineRule="auto"/>
              <w:jc w:val="center"/>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0</w:t>
            </w:r>
          </w:p>
        </w:tc>
        <w:tc>
          <w:tcPr>
            <w:tcW w:w="891" w:type="dxa"/>
            <w:tcBorders>
              <w:top w:val="nil"/>
              <w:left w:val="nil"/>
              <w:bottom w:val="single" w:sz="4" w:space="0" w:color="auto"/>
              <w:right w:val="single" w:sz="4" w:space="0" w:color="auto"/>
            </w:tcBorders>
            <w:shd w:val="clear" w:color="000000" w:fill="EDEDED"/>
            <w:noWrap/>
            <w:vAlign w:val="center"/>
            <w:hideMark/>
          </w:tcPr>
          <w:p w14:paraId="17494889"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0,00%</w:t>
            </w:r>
          </w:p>
        </w:tc>
        <w:tc>
          <w:tcPr>
            <w:tcW w:w="1566" w:type="dxa"/>
            <w:tcBorders>
              <w:top w:val="nil"/>
              <w:left w:val="nil"/>
              <w:bottom w:val="single" w:sz="4" w:space="0" w:color="auto"/>
              <w:right w:val="single" w:sz="4" w:space="0" w:color="auto"/>
            </w:tcBorders>
            <w:shd w:val="clear" w:color="000000" w:fill="EDEDED"/>
            <w:vAlign w:val="center"/>
            <w:hideMark/>
          </w:tcPr>
          <w:p w14:paraId="717065A4" w14:textId="08664595" w:rsidR="00863EF0" w:rsidRPr="00863EF0" w:rsidRDefault="00863EF0" w:rsidP="00863EF0">
            <w:pPr>
              <w:spacing w:after="0" w:line="240" w:lineRule="auto"/>
              <w:jc w:val="right"/>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0</w:t>
            </w:r>
            <w:r>
              <w:rPr>
                <w:rFonts w:ascii="Times New Roman" w:eastAsia="Times New Roman" w:hAnsi="Times New Roman" w:cs="Times New Roman"/>
                <w:b/>
                <w:color w:val="000000"/>
                <w:sz w:val="18"/>
                <w:szCs w:val="18"/>
                <w:lang w:eastAsia="hr-HR"/>
              </w:rPr>
              <w:t>,00</w:t>
            </w:r>
          </w:p>
        </w:tc>
        <w:tc>
          <w:tcPr>
            <w:tcW w:w="891" w:type="dxa"/>
            <w:tcBorders>
              <w:top w:val="nil"/>
              <w:left w:val="nil"/>
              <w:bottom w:val="single" w:sz="4" w:space="0" w:color="auto"/>
              <w:right w:val="single" w:sz="4" w:space="0" w:color="auto"/>
            </w:tcBorders>
            <w:shd w:val="clear" w:color="000000" w:fill="EDEDED"/>
            <w:vAlign w:val="center"/>
            <w:hideMark/>
          </w:tcPr>
          <w:p w14:paraId="7FF8356B"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0,00%</w:t>
            </w:r>
          </w:p>
        </w:tc>
        <w:tc>
          <w:tcPr>
            <w:tcW w:w="1086" w:type="dxa"/>
            <w:tcBorders>
              <w:top w:val="nil"/>
              <w:left w:val="nil"/>
              <w:bottom w:val="single" w:sz="4" w:space="0" w:color="auto"/>
              <w:right w:val="single" w:sz="4" w:space="0" w:color="auto"/>
            </w:tcBorders>
            <w:shd w:val="clear" w:color="000000" w:fill="F2F2F2"/>
            <w:noWrap/>
            <w:vAlign w:val="center"/>
            <w:hideMark/>
          </w:tcPr>
          <w:p w14:paraId="702638FD" w14:textId="77777777" w:rsidR="00863EF0" w:rsidRPr="00863EF0" w:rsidRDefault="00863EF0" w:rsidP="00863EF0">
            <w:pPr>
              <w:spacing w:after="0" w:line="240" w:lineRule="auto"/>
              <w:jc w:val="center"/>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1</w:t>
            </w:r>
          </w:p>
        </w:tc>
        <w:tc>
          <w:tcPr>
            <w:tcW w:w="891" w:type="dxa"/>
            <w:tcBorders>
              <w:top w:val="nil"/>
              <w:left w:val="nil"/>
              <w:bottom w:val="single" w:sz="4" w:space="0" w:color="auto"/>
              <w:right w:val="single" w:sz="4" w:space="0" w:color="auto"/>
            </w:tcBorders>
            <w:shd w:val="clear" w:color="000000" w:fill="F2F2F2"/>
            <w:noWrap/>
            <w:vAlign w:val="center"/>
            <w:hideMark/>
          </w:tcPr>
          <w:p w14:paraId="05652A24"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0,00%</w:t>
            </w:r>
          </w:p>
        </w:tc>
        <w:tc>
          <w:tcPr>
            <w:tcW w:w="1566" w:type="dxa"/>
            <w:tcBorders>
              <w:top w:val="nil"/>
              <w:left w:val="nil"/>
              <w:bottom w:val="single" w:sz="4" w:space="0" w:color="auto"/>
              <w:right w:val="single" w:sz="4" w:space="0" w:color="auto"/>
            </w:tcBorders>
            <w:shd w:val="clear" w:color="000000" w:fill="F2F2F2"/>
            <w:noWrap/>
            <w:vAlign w:val="center"/>
            <w:hideMark/>
          </w:tcPr>
          <w:p w14:paraId="150E4DAB" w14:textId="77777777" w:rsidR="00863EF0" w:rsidRPr="00863EF0" w:rsidRDefault="00863EF0" w:rsidP="00863EF0">
            <w:pPr>
              <w:spacing w:after="0" w:line="240" w:lineRule="auto"/>
              <w:jc w:val="right"/>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360.574,14</w:t>
            </w:r>
          </w:p>
        </w:tc>
        <w:tc>
          <w:tcPr>
            <w:tcW w:w="891" w:type="dxa"/>
            <w:tcBorders>
              <w:top w:val="nil"/>
              <w:left w:val="nil"/>
              <w:bottom w:val="single" w:sz="4" w:space="0" w:color="auto"/>
              <w:right w:val="single" w:sz="4" w:space="0" w:color="auto"/>
            </w:tcBorders>
            <w:shd w:val="clear" w:color="auto" w:fill="auto"/>
            <w:vAlign w:val="center"/>
            <w:hideMark/>
          </w:tcPr>
          <w:p w14:paraId="60C66180"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0,00%</w:t>
            </w:r>
          </w:p>
        </w:tc>
      </w:tr>
      <w:tr w:rsidR="00863EF0" w:rsidRPr="00906640" w14:paraId="3CE50FFB" w14:textId="77777777" w:rsidTr="00863EF0">
        <w:trPr>
          <w:trHeight w:val="461"/>
        </w:trPr>
        <w:tc>
          <w:tcPr>
            <w:tcW w:w="1189" w:type="dxa"/>
            <w:tcBorders>
              <w:top w:val="nil"/>
              <w:left w:val="single" w:sz="4" w:space="0" w:color="auto"/>
              <w:bottom w:val="single" w:sz="4" w:space="0" w:color="auto"/>
              <w:right w:val="single" w:sz="4" w:space="0" w:color="auto"/>
            </w:tcBorders>
            <w:shd w:val="clear" w:color="auto" w:fill="auto"/>
            <w:vAlign w:val="bottom"/>
            <w:hideMark/>
          </w:tcPr>
          <w:p w14:paraId="09F80D80" w14:textId="77777777" w:rsidR="00863EF0" w:rsidRPr="00863EF0" w:rsidRDefault="00863EF0" w:rsidP="00863EF0">
            <w:pPr>
              <w:spacing w:after="0" w:line="240" w:lineRule="auto"/>
              <w:rPr>
                <w:rFonts w:ascii="Times New Roman" w:eastAsia="Times New Roman" w:hAnsi="Times New Roman" w:cs="Times New Roman"/>
                <w:bCs/>
                <w:color w:val="000000"/>
                <w:sz w:val="18"/>
                <w:szCs w:val="18"/>
                <w:lang w:eastAsia="hr-HR"/>
              </w:rPr>
            </w:pPr>
            <w:r w:rsidRPr="00863EF0">
              <w:rPr>
                <w:rFonts w:ascii="Times New Roman" w:eastAsia="Times New Roman" w:hAnsi="Times New Roman" w:cs="Times New Roman"/>
                <w:bCs/>
                <w:color w:val="000000"/>
                <w:sz w:val="18"/>
                <w:szCs w:val="18"/>
                <w:lang w:eastAsia="hr-HR"/>
              </w:rPr>
              <w:t>odvjetnički uredi</w:t>
            </w:r>
          </w:p>
        </w:tc>
        <w:tc>
          <w:tcPr>
            <w:tcW w:w="1086" w:type="dxa"/>
            <w:tcBorders>
              <w:top w:val="nil"/>
              <w:left w:val="nil"/>
              <w:bottom w:val="single" w:sz="4" w:space="0" w:color="auto"/>
              <w:right w:val="single" w:sz="4" w:space="0" w:color="auto"/>
            </w:tcBorders>
            <w:shd w:val="clear" w:color="000000" w:fill="EDEDED"/>
            <w:noWrap/>
            <w:vAlign w:val="center"/>
            <w:hideMark/>
          </w:tcPr>
          <w:p w14:paraId="0C2AAB2A" w14:textId="565069BB" w:rsidR="00863EF0" w:rsidRPr="00863EF0" w:rsidRDefault="00863EF0" w:rsidP="00863EF0">
            <w:pPr>
              <w:spacing w:after="0" w:line="240" w:lineRule="auto"/>
              <w:jc w:val="center"/>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 0</w:t>
            </w:r>
          </w:p>
        </w:tc>
        <w:tc>
          <w:tcPr>
            <w:tcW w:w="891" w:type="dxa"/>
            <w:tcBorders>
              <w:top w:val="nil"/>
              <w:left w:val="nil"/>
              <w:bottom w:val="single" w:sz="4" w:space="0" w:color="auto"/>
              <w:right w:val="single" w:sz="4" w:space="0" w:color="auto"/>
            </w:tcBorders>
            <w:shd w:val="clear" w:color="000000" w:fill="EDEDED"/>
            <w:noWrap/>
            <w:vAlign w:val="center"/>
            <w:hideMark/>
          </w:tcPr>
          <w:p w14:paraId="5BF51E8E" w14:textId="246C5994"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863EF0">
              <w:rPr>
                <w:rFonts w:ascii="Times New Roman" w:eastAsia="Times New Roman" w:hAnsi="Times New Roman" w:cs="Times New Roman"/>
                <w:color w:val="000000"/>
                <w:sz w:val="18"/>
                <w:szCs w:val="18"/>
                <w:lang w:eastAsia="hr-HR"/>
              </w:rPr>
              <w:t>0,00%</w:t>
            </w:r>
            <w:r w:rsidRPr="0067771A">
              <w:rPr>
                <w:rFonts w:ascii="Times New Roman" w:eastAsia="Times New Roman" w:hAnsi="Times New Roman" w:cs="Times New Roman"/>
                <w:color w:val="000000"/>
                <w:sz w:val="18"/>
                <w:szCs w:val="18"/>
                <w:lang w:eastAsia="hr-HR"/>
              </w:rPr>
              <w:t> </w:t>
            </w:r>
          </w:p>
        </w:tc>
        <w:tc>
          <w:tcPr>
            <w:tcW w:w="1566" w:type="dxa"/>
            <w:tcBorders>
              <w:top w:val="nil"/>
              <w:left w:val="nil"/>
              <w:bottom w:val="single" w:sz="4" w:space="0" w:color="auto"/>
              <w:right w:val="single" w:sz="4" w:space="0" w:color="auto"/>
            </w:tcBorders>
            <w:shd w:val="clear" w:color="000000" w:fill="EDEDED"/>
            <w:vAlign w:val="center"/>
            <w:hideMark/>
          </w:tcPr>
          <w:p w14:paraId="65A2258B" w14:textId="78AF738A" w:rsidR="00863EF0" w:rsidRPr="00863EF0" w:rsidRDefault="00863EF0" w:rsidP="00863EF0">
            <w:pPr>
              <w:spacing w:after="0" w:line="240" w:lineRule="auto"/>
              <w:jc w:val="right"/>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0</w:t>
            </w:r>
            <w:r>
              <w:rPr>
                <w:rFonts w:ascii="Times New Roman" w:eastAsia="Times New Roman" w:hAnsi="Times New Roman" w:cs="Times New Roman"/>
                <w:b/>
                <w:color w:val="000000"/>
                <w:sz w:val="18"/>
                <w:szCs w:val="18"/>
                <w:lang w:eastAsia="hr-HR"/>
              </w:rPr>
              <w:t>,00</w:t>
            </w:r>
            <w:r w:rsidRPr="00863EF0">
              <w:rPr>
                <w:rFonts w:ascii="Times New Roman" w:eastAsia="Times New Roman" w:hAnsi="Times New Roman" w:cs="Times New Roman"/>
                <w:b/>
                <w:color w:val="000000"/>
                <w:sz w:val="18"/>
                <w:szCs w:val="18"/>
                <w:lang w:eastAsia="hr-HR"/>
              </w:rPr>
              <w:t> </w:t>
            </w:r>
          </w:p>
        </w:tc>
        <w:tc>
          <w:tcPr>
            <w:tcW w:w="891" w:type="dxa"/>
            <w:tcBorders>
              <w:top w:val="nil"/>
              <w:left w:val="nil"/>
              <w:bottom w:val="single" w:sz="4" w:space="0" w:color="auto"/>
              <w:right w:val="single" w:sz="4" w:space="0" w:color="auto"/>
            </w:tcBorders>
            <w:shd w:val="clear" w:color="000000" w:fill="EDEDED"/>
            <w:vAlign w:val="center"/>
            <w:hideMark/>
          </w:tcPr>
          <w:p w14:paraId="18873E49" w14:textId="00BDA54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0,00%</w:t>
            </w:r>
          </w:p>
        </w:tc>
        <w:tc>
          <w:tcPr>
            <w:tcW w:w="1086" w:type="dxa"/>
            <w:tcBorders>
              <w:top w:val="nil"/>
              <w:left w:val="nil"/>
              <w:bottom w:val="single" w:sz="4" w:space="0" w:color="auto"/>
              <w:right w:val="single" w:sz="4" w:space="0" w:color="auto"/>
            </w:tcBorders>
            <w:shd w:val="clear" w:color="000000" w:fill="F2F2F2"/>
            <w:noWrap/>
            <w:vAlign w:val="center"/>
            <w:hideMark/>
          </w:tcPr>
          <w:p w14:paraId="176D2281" w14:textId="77777777" w:rsidR="00863EF0" w:rsidRPr="00863EF0" w:rsidRDefault="00863EF0" w:rsidP="00863EF0">
            <w:pPr>
              <w:spacing w:after="0" w:line="240" w:lineRule="auto"/>
              <w:jc w:val="center"/>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1</w:t>
            </w:r>
          </w:p>
        </w:tc>
        <w:tc>
          <w:tcPr>
            <w:tcW w:w="891" w:type="dxa"/>
            <w:tcBorders>
              <w:top w:val="nil"/>
              <w:left w:val="nil"/>
              <w:bottom w:val="single" w:sz="4" w:space="0" w:color="auto"/>
              <w:right w:val="single" w:sz="4" w:space="0" w:color="auto"/>
            </w:tcBorders>
            <w:shd w:val="clear" w:color="000000" w:fill="F2F2F2"/>
            <w:noWrap/>
            <w:vAlign w:val="center"/>
            <w:hideMark/>
          </w:tcPr>
          <w:p w14:paraId="50D17A3E"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0,00%</w:t>
            </w:r>
          </w:p>
        </w:tc>
        <w:tc>
          <w:tcPr>
            <w:tcW w:w="1566" w:type="dxa"/>
            <w:tcBorders>
              <w:top w:val="nil"/>
              <w:left w:val="nil"/>
              <w:bottom w:val="single" w:sz="4" w:space="0" w:color="auto"/>
              <w:right w:val="single" w:sz="4" w:space="0" w:color="auto"/>
            </w:tcBorders>
            <w:shd w:val="clear" w:color="000000" w:fill="F2F2F2"/>
            <w:noWrap/>
            <w:vAlign w:val="center"/>
            <w:hideMark/>
          </w:tcPr>
          <w:p w14:paraId="0F4B6C07" w14:textId="77777777" w:rsidR="00863EF0" w:rsidRPr="00863EF0" w:rsidRDefault="00863EF0" w:rsidP="00863EF0">
            <w:pPr>
              <w:spacing w:after="0" w:line="240" w:lineRule="auto"/>
              <w:jc w:val="right"/>
              <w:rPr>
                <w:rFonts w:ascii="Times New Roman" w:eastAsia="Times New Roman" w:hAnsi="Times New Roman" w:cs="Times New Roman"/>
                <w:b/>
                <w:color w:val="000000"/>
                <w:sz w:val="18"/>
                <w:szCs w:val="18"/>
                <w:lang w:eastAsia="hr-HR"/>
              </w:rPr>
            </w:pPr>
            <w:r w:rsidRPr="00863EF0">
              <w:rPr>
                <w:rFonts w:ascii="Times New Roman" w:eastAsia="Times New Roman" w:hAnsi="Times New Roman" w:cs="Times New Roman"/>
                <w:b/>
                <w:color w:val="000000"/>
                <w:sz w:val="18"/>
                <w:szCs w:val="18"/>
                <w:lang w:eastAsia="hr-HR"/>
              </w:rPr>
              <w:t>752.810,00</w:t>
            </w:r>
          </w:p>
        </w:tc>
        <w:tc>
          <w:tcPr>
            <w:tcW w:w="891" w:type="dxa"/>
            <w:tcBorders>
              <w:top w:val="nil"/>
              <w:left w:val="nil"/>
              <w:bottom w:val="single" w:sz="4" w:space="0" w:color="auto"/>
              <w:right w:val="single" w:sz="4" w:space="0" w:color="auto"/>
            </w:tcBorders>
            <w:shd w:val="clear" w:color="auto" w:fill="auto"/>
            <w:vAlign w:val="center"/>
            <w:hideMark/>
          </w:tcPr>
          <w:p w14:paraId="5B7BF14D" w14:textId="77777777" w:rsidR="00863EF0" w:rsidRPr="0067771A" w:rsidRDefault="00863EF0" w:rsidP="00863EF0">
            <w:pPr>
              <w:spacing w:after="0" w:line="240" w:lineRule="auto"/>
              <w:jc w:val="center"/>
              <w:rPr>
                <w:rFonts w:ascii="Times New Roman" w:eastAsia="Times New Roman" w:hAnsi="Times New Roman" w:cs="Times New Roman"/>
                <w:color w:val="000000"/>
                <w:sz w:val="18"/>
                <w:szCs w:val="18"/>
                <w:lang w:eastAsia="hr-HR"/>
              </w:rPr>
            </w:pPr>
            <w:r w:rsidRPr="0067771A">
              <w:rPr>
                <w:rFonts w:ascii="Times New Roman" w:eastAsia="Times New Roman" w:hAnsi="Times New Roman" w:cs="Times New Roman"/>
                <w:color w:val="000000"/>
                <w:sz w:val="18"/>
                <w:szCs w:val="18"/>
                <w:lang w:eastAsia="hr-HR"/>
              </w:rPr>
              <w:t>0,00%</w:t>
            </w:r>
          </w:p>
        </w:tc>
      </w:tr>
      <w:tr w:rsidR="00863EF0" w:rsidRPr="00906640" w14:paraId="0CE7620C" w14:textId="77777777" w:rsidTr="00863EF0">
        <w:trPr>
          <w:trHeight w:val="293"/>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AA2F76F" w14:textId="77777777" w:rsidR="00863EF0" w:rsidRPr="0067771A" w:rsidRDefault="00863EF0" w:rsidP="00863EF0">
            <w:pPr>
              <w:spacing w:after="0" w:line="240" w:lineRule="auto"/>
              <w:jc w:val="right"/>
              <w:rPr>
                <w:rFonts w:ascii="Times New Roman" w:eastAsia="Times New Roman" w:hAnsi="Times New Roman" w:cs="Times New Roman"/>
                <w:b/>
                <w:bCs/>
                <w:color w:val="000000"/>
                <w:sz w:val="18"/>
                <w:szCs w:val="18"/>
                <w:lang w:eastAsia="hr-HR"/>
              </w:rPr>
            </w:pPr>
            <w:r w:rsidRPr="0067771A">
              <w:rPr>
                <w:rFonts w:ascii="Times New Roman" w:eastAsia="Times New Roman" w:hAnsi="Times New Roman" w:cs="Times New Roman"/>
                <w:b/>
                <w:bCs/>
                <w:color w:val="000000"/>
                <w:sz w:val="18"/>
                <w:szCs w:val="18"/>
                <w:lang w:eastAsia="hr-HR"/>
              </w:rPr>
              <w:t>Ukupno:</w:t>
            </w:r>
          </w:p>
        </w:tc>
        <w:tc>
          <w:tcPr>
            <w:tcW w:w="1086" w:type="dxa"/>
            <w:tcBorders>
              <w:top w:val="nil"/>
              <w:left w:val="nil"/>
              <w:bottom w:val="single" w:sz="4" w:space="0" w:color="auto"/>
              <w:right w:val="single" w:sz="4" w:space="0" w:color="auto"/>
            </w:tcBorders>
            <w:shd w:val="clear" w:color="000000" w:fill="EDEDED"/>
            <w:noWrap/>
            <w:vAlign w:val="center"/>
            <w:hideMark/>
          </w:tcPr>
          <w:p w14:paraId="18FB42B4" w14:textId="77777777" w:rsidR="00863EF0" w:rsidRPr="0067771A" w:rsidRDefault="00863EF0" w:rsidP="00863EF0">
            <w:pPr>
              <w:spacing w:after="0" w:line="240" w:lineRule="auto"/>
              <w:jc w:val="center"/>
              <w:rPr>
                <w:rFonts w:ascii="Times New Roman" w:eastAsia="Times New Roman" w:hAnsi="Times New Roman" w:cs="Times New Roman"/>
                <w:b/>
                <w:bCs/>
                <w:color w:val="000000"/>
                <w:sz w:val="18"/>
                <w:szCs w:val="18"/>
                <w:lang w:eastAsia="hr-HR"/>
              </w:rPr>
            </w:pPr>
            <w:r w:rsidRPr="0067771A">
              <w:rPr>
                <w:rFonts w:ascii="Times New Roman" w:eastAsia="Times New Roman" w:hAnsi="Times New Roman" w:cs="Times New Roman"/>
                <w:b/>
                <w:bCs/>
                <w:color w:val="000000"/>
                <w:sz w:val="18"/>
                <w:szCs w:val="18"/>
                <w:lang w:eastAsia="hr-HR"/>
              </w:rPr>
              <w:t>59.432</w:t>
            </w:r>
          </w:p>
        </w:tc>
        <w:tc>
          <w:tcPr>
            <w:tcW w:w="891" w:type="dxa"/>
            <w:tcBorders>
              <w:top w:val="nil"/>
              <w:left w:val="nil"/>
              <w:bottom w:val="single" w:sz="4" w:space="0" w:color="auto"/>
              <w:right w:val="single" w:sz="4" w:space="0" w:color="auto"/>
            </w:tcBorders>
            <w:shd w:val="clear" w:color="auto" w:fill="auto"/>
            <w:noWrap/>
            <w:vAlign w:val="center"/>
            <w:hideMark/>
          </w:tcPr>
          <w:p w14:paraId="7A3AC403" w14:textId="77777777" w:rsidR="00863EF0" w:rsidRPr="0067771A" w:rsidRDefault="00863EF0" w:rsidP="00863EF0">
            <w:pPr>
              <w:spacing w:after="0" w:line="240" w:lineRule="auto"/>
              <w:jc w:val="center"/>
              <w:rPr>
                <w:rFonts w:ascii="Times New Roman" w:eastAsia="Times New Roman" w:hAnsi="Times New Roman" w:cs="Times New Roman"/>
                <w:b/>
                <w:bCs/>
                <w:color w:val="000000"/>
                <w:sz w:val="18"/>
                <w:szCs w:val="18"/>
                <w:lang w:eastAsia="hr-HR"/>
              </w:rPr>
            </w:pPr>
            <w:r w:rsidRPr="0067771A">
              <w:rPr>
                <w:rFonts w:ascii="Times New Roman" w:eastAsia="Times New Roman" w:hAnsi="Times New Roman" w:cs="Times New Roman"/>
                <w:b/>
                <w:bCs/>
                <w:color w:val="000000"/>
                <w:sz w:val="18"/>
                <w:szCs w:val="18"/>
                <w:lang w:eastAsia="hr-HR"/>
              </w:rPr>
              <w:t>100,00%</w:t>
            </w:r>
          </w:p>
        </w:tc>
        <w:tc>
          <w:tcPr>
            <w:tcW w:w="1566" w:type="dxa"/>
            <w:tcBorders>
              <w:top w:val="nil"/>
              <w:left w:val="nil"/>
              <w:bottom w:val="single" w:sz="4" w:space="0" w:color="auto"/>
              <w:right w:val="single" w:sz="4" w:space="0" w:color="auto"/>
            </w:tcBorders>
            <w:shd w:val="clear" w:color="000000" w:fill="EDEDED"/>
            <w:vAlign w:val="center"/>
            <w:hideMark/>
          </w:tcPr>
          <w:p w14:paraId="3B7E9203" w14:textId="77777777" w:rsidR="00863EF0" w:rsidRPr="0067771A" w:rsidRDefault="00863EF0" w:rsidP="00863EF0">
            <w:pPr>
              <w:spacing w:after="0" w:line="240" w:lineRule="auto"/>
              <w:jc w:val="center"/>
              <w:rPr>
                <w:rFonts w:ascii="Times New Roman" w:eastAsia="Times New Roman" w:hAnsi="Times New Roman" w:cs="Times New Roman"/>
                <w:b/>
                <w:bCs/>
                <w:color w:val="000000"/>
                <w:sz w:val="18"/>
                <w:szCs w:val="18"/>
                <w:lang w:eastAsia="hr-HR"/>
              </w:rPr>
            </w:pPr>
            <w:r w:rsidRPr="0067771A">
              <w:rPr>
                <w:rFonts w:ascii="Times New Roman" w:eastAsia="Times New Roman" w:hAnsi="Times New Roman" w:cs="Times New Roman"/>
                <w:b/>
                <w:bCs/>
                <w:color w:val="000000"/>
                <w:sz w:val="18"/>
                <w:szCs w:val="18"/>
                <w:lang w:eastAsia="hr-HR"/>
              </w:rPr>
              <w:t>21.377.494.941,54</w:t>
            </w:r>
          </w:p>
        </w:tc>
        <w:tc>
          <w:tcPr>
            <w:tcW w:w="891" w:type="dxa"/>
            <w:tcBorders>
              <w:top w:val="nil"/>
              <w:left w:val="nil"/>
              <w:bottom w:val="single" w:sz="4" w:space="0" w:color="auto"/>
              <w:right w:val="single" w:sz="4" w:space="0" w:color="auto"/>
            </w:tcBorders>
            <w:shd w:val="clear" w:color="auto" w:fill="auto"/>
            <w:vAlign w:val="center"/>
            <w:hideMark/>
          </w:tcPr>
          <w:p w14:paraId="01B45EBA" w14:textId="77777777" w:rsidR="00863EF0" w:rsidRPr="0067771A" w:rsidRDefault="00863EF0" w:rsidP="00863EF0">
            <w:pPr>
              <w:spacing w:after="0" w:line="240" w:lineRule="auto"/>
              <w:jc w:val="center"/>
              <w:rPr>
                <w:rFonts w:ascii="Times New Roman" w:eastAsia="Times New Roman" w:hAnsi="Times New Roman" w:cs="Times New Roman"/>
                <w:b/>
                <w:bCs/>
                <w:color w:val="000000"/>
                <w:sz w:val="18"/>
                <w:szCs w:val="18"/>
                <w:lang w:eastAsia="hr-HR"/>
              </w:rPr>
            </w:pPr>
            <w:r w:rsidRPr="0067771A">
              <w:rPr>
                <w:rFonts w:ascii="Times New Roman" w:eastAsia="Times New Roman" w:hAnsi="Times New Roman" w:cs="Times New Roman"/>
                <w:b/>
                <w:bCs/>
                <w:color w:val="000000"/>
                <w:sz w:val="18"/>
                <w:szCs w:val="18"/>
                <w:lang w:eastAsia="hr-HR"/>
              </w:rPr>
              <w:t>100,00%</w:t>
            </w:r>
          </w:p>
        </w:tc>
        <w:tc>
          <w:tcPr>
            <w:tcW w:w="1086" w:type="dxa"/>
            <w:tcBorders>
              <w:top w:val="nil"/>
              <w:left w:val="nil"/>
              <w:bottom w:val="single" w:sz="4" w:space="0" w:color="auto"/>
              <w:right w:val="single" w:sz="4" w:space="0" w:color="auto"/>
            </w:tcBorders>
            <w:shd w:val="clear" w:color="000000" w:fill="EDEDED"/>
            <w:noWrap/>
            <w:vAlign w:val="center"/>
            <w:hideMark/>
          </w:tcPr>
          <w:p w14:paraId="7FA2ACAE" w14:textId="77777777" w:rsidR="00863EF0" w:rsidRPr="0067771A" w:rsidRDefault="00863EF0" w:rsidP="00863EF0">
            <w:pPr>
              <w:spacing w:after="0" w:line="240" w:lineRule="auto"/>
              <w:jc w:val="center"/>
              <w:rPr>
                <w:rFonts w:ascii="Times New Roman" w:eastAsia="Times New Roman" w:hAnsi="Times New Roman" w:cs="Times New Roman"/>
                <w:b/>
                <w:bCs/>
                <w:color w:val="000000"/>
                <w:sz w:val="18"/>
                <w:szCs w:val="18"/>
                <w:lang w:eastAsia="hr-HR"/>
              </w:rPr>
            </w:pPr>
            <w:r w:rsidRPr="0067771A">
              <w:rPr>
                <w:rFonts w:ascii="Times New Roman" w:eastAsia="Times New Roman" w:hAnsi="Times New Roman" w:cs="Times New Roman"/>
                <w:b/>
                <w:bCs/>
                <w:color w:val="000000"/>
                <w:sz w:val="18"/>
                <w:szCs w:val="18"/>
                <w:lang w:eastAsia="hr-HR"/>
              </w:rPr>
              <w:t>68.843</w:t>
            </w:r>
          </w:p>
        </w:tc>
        <w:tc>
          <w:tcPr>
            <w:tcW w:w="891" w:type="dxa"/>
            <w:tcBorders>
              <w:top w:val="nil"/>
              <w:left w:val="nil"/>
              <w:bottom w:val="single" w:sz="4" w:space="0" w:color="auto"/>
              <w:right w:val="single" w:sz="4" w:space="0" w:color="auto"/>
            </w:tcBorders>
            <w:shd w:val="clear" w:color="000000" w:fill="F2F2F2"/>
            <w:noWrap/>
            <w:vAlign w:val="center"/>
            <w:hideMark/>
          </w:tcPr>
          <w:p w14:paraId="1EC78860" w14:textId="77777777" w:rsidR="00863EF0" w:rsidRPr="0067771A" w:rsidRDefault="00863EF0" w:rsidP="00863EF0">
            <w:pPr>
              <w:spacing w:after="0" w:line="240" w:lineRule="auto"/>
              <w:jc w:val="center"/>
              <w:rPr>
                <w:rFonts w:ascii="Times New Roman" w:eastAsia="Times New Roman" w:hAnsi="Times New Roman" w:cs="Times New Roman"/>
                <w:b/>
                <w:bCs/>
                <w:color w:val="000000"/>
                <w:sz w:val="18"/>
                <w:szCs w:val="18"/>
                <w:lang w:eastAsia="hr-HR"/>
              </w:rPr>
            </w:pPr>
            <w:r w:rsidRPr="0067771A">
              <w:rPr>
                <w:rFonts w:ascii="Times New Roman" w:eastAsia="Times New Roman" w:hAnsi="Times New Roman" w:cs="Times New Roman"/>
                <w:b/>
                <w:bCs/>
                <w:color w:val="000000"/>
                <w:sz w:val="18"/>
                <w:szCs w:val="18"/>
                <w:lang w:eastAsia="hr-HR"/>
              </w:rPr>
              <w:t>100,00%</w:t>
            </w:r>
          </w:p>
        </w:tc>
        <w:tc>
          <w:tcPr>
            <w:tcW w:w="1566" w:type="dxa"/>
            <w:tcBorders>
              <w:top w:val="nil"/>
              <w:left w:val="nil"/>
              <w:bottom w:val="single" w:sz="4" w:space="0" w:color="auto"/>
              <w:right w:val="single" w:sz="4" w:space="0" w:color="auto"/>
            </w:tcBorders>
            <w:shd w:val="clear" w:color="000000" w:fill="EDEDED"/>
            <w:vAlign w:val="center"/>
            <w:hideMark/>
          </w:tcPr>
          <w:p w14:paraId="67C78A56" w14:textId="77777777" w:rsidR="00863EF0" w:rsidRPr="0067771A" w:rsidRDefault="00863EF0" w:rsidP="00863EF0">
            <w:pPr>
              <w:spacing w:after="0" w:line="240" w:lineRule="auto"/>
              <w:jc w:val="right"/>
              <w:rPr>
                <w:rFonts w:ascii="Times New Roman" w:eastAsia="Times New Roman" w:hAnsi="Times New Roman" w:cs="Times New Roman"/>
                <w:b/>
                <w:bCs/>
                <w:color w:val="000000"/>
                <w:sz w:val="18"/>
                <w:szCs w:val="18"/>
                <w:lang w:eastAsia="hr-HR"/>
              </w:rPr>
            </w:pPr>
            <w:r w:rsidRPr="0067771A">
              <w:rPr>
                <w:rFonts w:ascii="Times New Roman" w:eastAsia="Times New Roman" w:hAnsi="Times New Roman" w:cs="Times New Roman"/>
                <w:b/>
                <w:bCs/>
                <w:color w:val="000000"/>
                <w:sz w:val="18"/>
                <w:szCs w:val="18"/>
                <w:lang w:eastAsia="hr-HR"/>
              </w:rPr>
              <w:t>25.045.077.239,89</w:t>
            </w:r>
          </w:p>
        </w:tc>
        <w:tc>
          <w:tcPr>
            <w:tcW w:w="891" w:type="dxa"/>
            <w:tcBorders>
              <w:top w:val="nil"/>
              <w:left w:val="nil"/>
              <w:bottom w:val="single" w:sz="4" w:space="0" w:color="auto"/>
              <w:right w:val="single" w:sz="4" w:space="0" w:color="auto"/>
            </w:tcBorders>
            <w:shd w:val="clear" w:color="auto" w:fill="auto"/>
            <w:vAlign w:val="center"/>
            <w:hideMark/>
          </w:tcPr>
          <w:p w14:paraId="6D12FFAC" w14:textId="77777777" w:rsidR="00863EF0" w:rsidRPr="0067771A" w:rsidRDefault="00863EF0" w:rsidP="00863EF0">
            <w:pPr>
              <w:spacing w:after="0" w:line="240" w:lineRule="auto"/>
              <w:jc w:val="center"/>
              <w:rPr>
                <w:rFonts w:ascii="Times New Roman" w:eastAsia="Times New Roman" w:hAnsi="Times New Roman" w:cs="Times New Roman"/>
                <w:b/>
                <w:bCs/>
                <w:color w:val="000000"/>
                <w:sz w:val="18"/>
                <w:szCs w:val="18"/>
                <w:lang w:eastAsia="hr-HR"/>
              </w:rPr>
            </w:pPr>
            <w:r w:rsidRPr="0067771A">
              <w:rPr>
                <w:rFonts w:ascii="Times New Roman" w:eastAsia="Times New Roman" w:hAnsi="Times New Roman" w:cs="Times New Roman"/>
                <w:b/>
                <w:bCs/>
                <w:color w:val="000000"/>
                <w:sz w:val="18"/>
                <w:szCs w:val="18"/>
                <w:lang w:eastAsia="hr-HR"/>
              </w:rPr>
              <w:t>100,00%</w:t>
            </w:r>
          </w:p>
        </w:tc>
      </w:tr>
    </w:tbl>
    <w:p w14:paraId="3B2C3290" w14:textId="77777777" w:rsidR="002118EE" w:rsidRDefault="002118EE" w:rsidP="00863EF0">
      <w:pPr>
        <w:spacing w:after="0" w:line="240" w:lineRule="auto"/>
        <w:jc w:val="both"/>
        <w:rPr>
          <w:rFonts w:ascii="Times New Roman" w:eastAsia="Calibri" w:hAnsi="Times New Roman" w:cs="Times New Roman"/>
          <w:sz w:val="24"/>
          <w:szCs w:val="24"/>
        </w:rPr>
      </w:pPr>
    </w:p>
    <w:p w14:paraId="2AD22716" w14:textId="50EE28F5" w:rsidR="00863EF0" w:rsidRPr="004C08E8" w:rsidRDefault="00863EF0" w:rsidP="00863EF0">
      <w:pPr>
        <w:spacing w:after="0" w:line="240" w:lineRule="auto"/>
        <w:jc w:val="both"/>
        <w:rPr>
          <w:rFonts w:ascii="Times New Roman" w:eastAsia="Calibri" w:hAnsi="Times New Roman" w:cs="Times New Roman"/>
          <w:sz w:val="24"/>
          <w:szCs w:val="24"/>
        </w:rPr>
      </w:pPr>
      <w:r w:rsidRPr="004C08E8">
        <w:rPr>
          <w:rFonts w:ascii="Times New Roman" w:eastAsia="Calibri" w:hAnsi="Times New Roman" w:cs="Times New Roman"/>
          <w:sz w:val="24"/>
          <w:szCs w:val="24"/>
        </w:rPr>
        <w:t xml:space="preserve">Najveći broj gotovinskih transakcija zaprimljen je od banaka te se nastavio trend konstantnog udjela tog sektora u ukupnom broju prijava gotovinskih transakcija. Tako je od banaka 2022. zaprimljeno ukupno </w:t>
      </w:r>
      <w:r w:rsidRPr="004C08E8">
        <w:rPr>
          <w:rFonts w:ascii="Times New Roman" w:eastAsia="Calibri" w:hAnsi="Times New Roman" w:cs="Times New Roman"/>
          <w:color w:val="000000"/>
          <w:sz w:val="24"/>
          <w:szCs w:val="24"/>
          <w:lang w:eastAsia="hr-HR"/>
        </w:rPr>
        <w:t>67.409</w:t>
      </w:r>
      <w:r w:rsidRPr="004C08E8">
        <w:rPr>
          <w:rFonts w:ascii="Times New Roman" w:eastAsia="Calibri" w:hAnsi="Times New Roman" w:cs="Times New Roman"/>
          <w:b/>
          <w:color w:val="000000"/>
          <w:sz w:val="20"/>
          <w:szCs w:val="20"/>
          <w:lang w:eastAsia="hr-HR"/>
        </w:rPr>
        <w:t xml:space="preserve"> </w:t>
      </w:r>
      <w:r w:rsidRPr="004C08E8">
        <w:rPr>
          <w:rFonts w:ascii="Times New Roman" w:eastAsia="Calibri" w:hAnsi="Times New Roman" w:cs="Times New Roman"/>
          <w:sz w:val="24"/>
          <w:szCs w:val="24"/>
        </w:rPr>
        <w:t>gotovinskih transakcija što čini 97,92% od ukupnog broja zaprimljenih gotovinskih transakcija.</w:t>
      </w:r>
    </w:p>
    <w:p w14:paraId="5B32413F" w14:textId="77777777" w:rsidR="00863EF0" w:rsidRPr="004C08E8" w:rsidRDefault="00863EF0" w:rsidP="00863EF0">
      <w:pPr>
        <w:spacing w:after="0" w:line="0" w:lineRule="atLeast"/>
        <w:jc w:val="both"/>
        <w:rPr>
          <w:rFonts w:ascii="Times New Roman" w:eastAsia="Calibri" w:hAnsi="Times New Roman" w:cs="Times New Roman"/>
          <w:sz w:val="24"/>
          <w:szCs w:val="24"/>
        </w:rPr>
      </w:pPr>
    </w:p>
    <w:p w14:paraId="31FDE7F4" w14:textId="77777777" w:rsidR="00863EF0" w:rsidRPr="00906640" w:rsidRDefault="00863EF0" w:rsidP="00863EF0">
      <w:pPr>
        <w:spacing w:after="0" w:line="240" w:lineRule="auto"/>
        <w:jc w:val="both"/>
        <w:rPr>
          <w:rFonts w:ascii="Times New Roman" w:eastAsia="Calibri" w:hAnsi="Times New Roman" w:cs="Times New Roman"/>
          <w:b/>
          <w:sz w:val="24"/>
          <w:szCs w:val="24"/>
        </w:rPr>
      </w:pPr>
      <w:r w:rsidRPr="00906640">
        <w:rPr>
          <w:rFonts w:ascii="Times New Roman" w:hAnsi="Times New Roman" w:cs="Times New Roman"/>
          <w:b/>
          <w:sz w:val="24"/>
          <w:szCs w:val="24"/>
        </w:rPr>
        <w:t>Podatci o broju zaprimljenih gotovinskih transakcija u 202</w:t>
      </w:r>
      <w:r>
        <w:rPr>
          <w:rFonts w:ascii="Times New Roman" w:hAnsi="Times New Roman" w:cs="Times New Roman"/>
          <w:b/>
          <w:sz w:val="24"/>
          <w:szCs w:val="24"/>
        </w:rPr>
        <w:t>2</w:t>
      </w:r>
      <w:r w:rsidRPr="00906640">
        <w:rPr>
          <w:rFonts w:ascii="Times New Roman" w:hAnsi="Times New Roman" w:cs="Times New Roman"/>
          <w:b/>
          <w:sz w:val="24"/>
          <w:szCs w:val="24"/>
        </w:rPr>
        <w:t>. prema opisu načina provođenja transakcije</w:t>
      </w:r>
    </w:p>
    <w:p w14:paraId="74B83BDA" w14:textId="26F737EB" w:rsidR="00863EF0" w:rsidRDefault="00863EF0" w:rsidP="00863EF0">
      <w:pPr>
        <w:spacing w:after="0" w:line="0" w:lineRule="atLeast"/>
        <w:jc w:val="both"/>
        <w:rPr>
          <w:rFonts w:ascii="Times New Roman" w:eastAsia="Times New Roman" w:hAnsi="Times New Roman" w:cs="Times New Roman"/>
          <w:sz w:val="24"/>
          <w:szCs w:val="24"/>
          <w:lang w:eastAsia="hr-HR"/>
        </w:rPr>
      </w:pPr>
      <w:r w:rsidRPr="004C08E8">
        <w:rPr>
          <w:rFonts w:ascii="Times New Roman" w:eastAsia="Times New Roman" w:hAnsi="Times New Roman" w:cs="Times New Roman"/>
          <w:sz w:val="24"/>
          <w:szCs w:val="24"/>
          <w:lang w:eastAsia="hr-HR"/>
        </w:rPr>
        <w:t>U Tablici</w:t>
      </w:r>
      <w:r>
        <w:rPr>
          <w:rFonts w:ascii="Times New Roman" w:eastAsia="Times New Roman" w:hAnsi="Times New Roman" w:cs="Times New Roman"/>
          <w:sz w:val="24"/>
          <w:szCs w:val="24"/>
          <w:lang w:eastAsia="hr-HR"/>
        </w:rPr>
        <w:t xml:space="preserve"> 20</w:t>
      </w:r>
      <w:r w:rsidRPr="004C08E8">
        <w:rPr>
          <w:rFonts w:ascii="Times New Roman" w:eastAsia="Times New Roman" w:hAnsi="Times New Roman" w:cs="Times New Roman"/>
          <w:sz w:val="24"/>
          <w:szCs w:val="24"/>
          <w:lang w:eastAsia="hr-HR"/>
        </w:rPr>
        <w:t>. prikazan je broj/vrijednost i struktura gotovinskih transakcija zaprimljenih u 2022.</w:t>
      </w:r>
      <w:r w:rsidRPr="004C08E8">
        <w:rPr>
          <w:rFonts w:ascii="Times New Roman" w:eastAsia="Times New Roman" w:hAnsi="Times New Roman" w:cs="Times New Roman"/>
          <w:b/>
          <w:bCs/>
          <w:sz w:val="24"/>
          <w:szCs w:val="24"/>
          <w:lang w:eastAsia="hr-HR"/>
        </w:rPr>
        <w:t xml:space="preserve"> </w:t>
      </w:r>
      <w:r w:rsidRPr="004C08E8">
        <w:rPr>
          <w:rFonts w:ascii="Times New Roman" w:eastAsia="Times New Roman" w:hAnsi="Times New Roman" w:cs="Times New Roman"/>
          <w:bCs/>
          <w:sz w:val="24"/>
          <w:szCs w:val="24"/>
          <w:lang w:eastAsia="hr-HR"/>
        </w:rPr>
        <w:t xml:space="preserve">prema prema opisu načina provođenja transakcija. </w:t>
      </w:r>
      <w:r w:rsidRPr="004C08E8">
        <w:rPr>
          <w:rFonts w:ascii="Times New Roman" w:eastAsia="Times New Roman" w:hAnsi="Times New Roman" w:cs="Times New Roman"/>
          <w:sz w:val="24"/>
          <w:szCs w:val="24"/>
          <w:lang w:eastAsia="hr-HR"/>
        </w:rPr>
        <w:t>Od ukupnog broja gotovinskih transakcija koje su banke i dr. obveznici provedbe Zakona u 2022. prijavili Uredu 62,</w:t>
      </w:r>
      <w:r>
        <w:rPr>
          <w:rFonts w:ascii="Times New Roman" w:eastAsia="Times New Roman" w:hAnsi="Times New Roman" w:cs="Times New Roman"/>
          <w:sz w:val="24"/>
          <w:szCs w:val="24"/>
          <w:lang w:eastAsia="hr-HR"/>
        </w:rPr>
        <w:t>3</w:t>
      </w:r>
      <w:r w:rsidRPr="004C08E8">
        <w:rPr>
          <w:rFonts w:ascii="Times New Roman" w:eastAsia="Times New Roman" w:hAnsi="Times New Roman" w:cs="Times New Roman"/>
          <w:sz w:val="24"/>
          <w:szCs w:val="24"/>
          <w:lang w:eastAsia="hr-HR"/>
        </w:rPr>
        <w:t xml:space="preserve"> % odnosno 42.</w:t>
      </w:r>
      <w:r>
        <w:rPr>
          <w:rFonts w:ascii="Times New Roman" w:eastAsia="Times New Roman" w:hAnsi="Times New Roman" w:cs="Times New Roman"/>
          <w:sz w:val="24"/>
          <w:szCs w:val="24"/>
          <w:lang w:eastAsia="hr-HR"/>
        </w:rPr>
        <w:t>888</w:t>
      </w:r>
      <w:r w:rsidRPr="004C08E8">
        <w:rPr>
          <w:rFonts w:ascii="Times New Roman" w:eastAsia="Times New Roman" w:hAnsi="Times New Roman" w:cs="Times New Roman"/>
          <w:sz w:val="24"/>
          <w:szCs w:val="24"/>
          <w:lang w:eastAsia="hr-HR"/>
        </w:rPr>
        <w:t xml:space="preserve"> transakcija se odnosilo na </w:t>
      </w:r>
      <w:r w:rsidRPr="004C08E8">
        <w:rPr>
          <w:rFonts w:ascii="Times New Roman" w:eastAsia="Times New Roman" w:hAnsi="Times New Roman" w:cs="Times New Roman"/>
          <w:bCs/>
          <w:sz w:val="24"/>
          <w:szCs w:val="24"/>
          <w:lang w:eastAsia="hr-HR"/>
        </w:rPr>
        <w:t>"</w:t>
      </w:r>
      <w:r w:rsidRPr="004C08E8">
        <w:rPr>
          <w:rFonts w:ascii="Times New Roman" w:eastAsia="Times New Roman" w:hAnsi="Times New Roman" w:cs="Times New Roman"/>
          <w:sz w:val="24"/>
          <w:szCs w:val="24"/>
          <w:lang w:eastAsia="hr-HR"/>
        </w:rPr>
        <w:t>isplatu u gotovini</w:t>
      </w:r>
      <w:r w:rsidRPr="004C08E8">
        <w:rPr>
          <w:rFonts w:ascii="Times New Roman" w:eastAsia="Times New Roman" w:hAnsi="Times New Roman" w:cs="Times New Roman"/>
          <w:bCs/>
          <w:sz w:val="24"/>
          <w:szCs w:val="24"/>
          <w:lang w:eastAsia="hr-HR"/>
        </w:rPr>
        <w:t>"</w:t>
      </w:r>
      <w:r w:rsidRPr="004C08E8">
        <w:rPr>
          <w:rFonts w:ascii="Times New Roman" w:eastAsia="Times New Roman" w:hAnsi="Times New Roman" w:cs="Times New Roman"/>
          <w:sz w:val="24"/>
          <w:szCs w:val="24"/>
          <w:lang w:eastAsia="hr-HR"/>
        </w:rPr>
        <w:t>, 35,</w:t>
      </w:r>
      <w:r>
        <w:rPr>
          <w:rFonts w:ascii="Times New Roman" w:eastAsia="Times New Roman" w:hAnsi="Times New Roman" w:cs="Times New Roman"/>
          <w:sz w:val="24"/>
          <w:szCs w:val="24"/>
          <w:lang w:eastAsia="hr-HR"/>
        </w:rPr>
        <w:t>58</w:t>
      </w:r>
      <w:r w:rsidRPr="004C08E8">
        <w:rPr>
          <w:rFonts w:ascii="Times New Roman" w:eastAsia="Times New Roman" w:hAnsi="Times New Roman" w:cs="Times New Roman"/>
          <w:sz w:val="24"/>
          <w:szCs w:val="24"/>
          <w:lang w:eastAsia="hr-HR"/>
        </w:rPr>
        <w:t xml:space="preserve"> % odnosno 24.4</w:t>
      </w:r>
      <w:r>
        <w:rPr>
          <w:rFonts w:ascii="Times New Roman" w:eastAsia="Times New Roman" w:hAnsi="Times New Roman" w:cs="Times New Roman"/>
          <w:sz w:val="24"/>
          <w:szCs w:val="24"/>
          <w:lang w:eastAsia="hr-HR"/>
        </w:rPr>
        <w:t>95</w:t>
      </w:r>
      <w:r w:rsidRPr="004C08E8">
        <w:rPr>
          <w:rFonts w:ascii="Times New Roman" w:eastAsia="Times New Roman" w:hAnsi="Times New Roman" w:cs="Times New Roman"/>
          <w:sz w:val="24"/>
          <w:szCs w:val="24"/>
          <w:lang w:eastAsia="hr-HR"/>
        </w:rPr>
        <w:t xml:space="preserve"> transakcija odnosilo se na </w:t>
      </w:r>
      <w:r w:rsidRPr="004C08E8">
        <w:rPr>
          <w:rFonts w:ascii="Times New Roman" w:eastAsia="Times New Roman" w:hAnsi="Times New Roman" w:cs="Times New Roman"/>
          <w:bCs/>
          <w:sz w:val="24"/>
          <w:szCs w:val="24"/>
          <w:lang w:eastAsia="hr-HR"/>
        </w:rPr>
        <w:t>"u</w:t>
      </w:r>
      <w:r w:rsidRPr="004C08E8">
        <w:rPr>
          <w:rFonts w:ascii="Times New Roman" w:eastAsia="Times New Roman" w:hAnsi="Times New Roman" w:cs="Times New Roman"/>
          <w:sz w:val="24"/>
          <w:szCs w:val="24"/>
          <w:lang w:eastAsia="hr-HR"/>
        </w:rPr>
        <w:t>platu u gotovini</w:t>
      </w:r>
      <w:r w:rsidRPr="004C08E8">
        <w:rPr>
          <w:rFonts w:ascii="Times New Roman" w:eastAsia="Times New Roman" w:hAnsi="Times New Roman" w:cs="Times New Roman"/>
          <w:bCs/>
          <w:sz w:val="24"/>
          <w:szCs w:val="24"/>
          <w:lang w:eastAsia="hr-HR"/>
        </w:rPr>
        <w:t>"</w:t>
      </w:r>
      <w:r w:rsidRPr="004C08E8">
        <w:rPr>
          <w:rFonts w:ascii="Times New Roman" w:eastAsia="Times New Roman" w:hAnsi="Times New Roman" w:cs="Times New Roman"/>
          <w:sz w:val="24"/>
          <w:szCs w:val="24"/>
          <w:lang w:eastAsia="hr-HR"/>
        </w:rPr>
        <w:t xml:space="preserve"> dok se </w:t>
      </w:r>
      <w:r>
        <w:rPr>
          <w:rFonts w:ascii="Times New Roman" w:eastAsia="Times New Roman" w:hAnsi="Times New Roman" w:cs="Times New Roman"/>
          <w:sz w:val="24"/>
          <w:szCs w:val="24"/>
          <w:lang w:eastAsia="hr-HR"/>
        </w:rPr>
        <w:t>2,12</w:t>
      </w:r>
      <w:r w:rsidRPr="004C08E8">
        <w:rPr>
          <w:rFonts w:ascii="Times New Roman" w:eastAsia="Times New Roman" w:hAnsi="Times New Roman" w:cs="Times New Roman"/>
          <w:sz w:val="24"/>
          <w:szCs w:val="24"/>
          <w:lang w:eastAsia="hr-HR"/>
        </w:rPr>
        <w:t xml:space="preserve">% odnosno </w:t>
      </w:r>
      <w:r>
        <w:rPr>
          <w:rFonts w:ascii="Times New Roman" w:eastAsia="Times New Roman" w:hAnsi="Times New Roman" w:cs="Times New Roman"/>
          <w:sz w:val="24"/>
          <w:szCs w:val="24"/>
          <w:lang w:eastAsia="hr-HR"/>
        </w:rPr>
        <w:t xml:space="preserve">1460 </w:t>
      </w:r>
      <w:r w:rsidR="009641B8">
        <w:rPr>
          <w:rFonts w:ascii="Times New Roman" w:eastAsia="Times New Roman" w:hAnsi="Times New Roman" w:cs="Times New Roman"/>
          <w:sz w:val="24"/>
          <w:szCs w:val="24"/>
          <w:lang w:eastAsia="hr-HR"/>
        </w:rPr>
        <w:t>t</w:t>
      </w:r>
      <w:r w:rsidRPr="004C08E8">
        <w:rPr>
          <w:rFonts w:ascii="Times New Roman" w:eastAsia="Times New Roman" w:hAnsi="Times New Roman" w:cs="Times New Roman"/>
          <w:sz w:val="24"/>
          <w:szCs w:val="24"/>
          <w:lang w:eastAsia="hr-HR"/>
        </w:rPr>
        <w:t xml:space="preserve">ransakcija odnosilo na </w:t>
      </w:r>
      <w:r w:rsidRPr="004C08E8">
        <w:rPr>
          <w:rFonts w:ascii="Times New Roman" w:eastAsia="Times New Roman" w:hAnsi="Times New Roman" w:cs="Times New Roman"/>
          <w:bCs/>
          <w:sz w:val="24"/>
          <w:szCs w:val="24"/>
          <w:lang w:eastAsia="hr-HR"/>
        </w:rPr>
        <w:t>"</w:t>
      </w:r>
      <w:r w:rsidRPr="004C08E8">
        <w:rPr>
          <w:rFonts w:ascii="Times New Roman" w:eastAsia="Times New Roman" w:hAnsi="Times New Roman" w:cs="Times New Roman"/>
          <w:sz w:val="24"/>
          <w:szCs w:val="24"/>
          <w:lang w:eastAsia="hr-HR"/>
        </w:rPr>
        <w:t>mjenjačke poslove“.</w:t>
      </w:r>
    </w:p>
    <w:p w14:paraId="6D5F02D7" w14:textId="4D2EB969" w:rsidR="00863EF0" w:rsidRDefault="00863EF0" w:rsidP="00863EF0">
      <w:pPr>
        <w:spacing w:after="0" w:line="0"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Usporedni podatci o broju zaprimlljenih gotovinskih transakcija prema načinu provođenja za 2021. i 20</w:t>
      </w:r>
      <w:r w:rsidR="005B4F1C">
        <w:rPr>
          <w:rFonts w:ascii="Times New Roman" w:eastAsia="Times New Roman" w:hAnsi="Times New Roman" w:cs="Times New Roman"/>
          <w:sz w:val="24"/>
          <w:szCs w:val="24"/>
          <w:lang w:eastAsia="hr-HR"/>
        </w:rPr>
        <w:t>22. prikazani su u grafikonu 8.</w:t>
      </w:r>
    </w:p>
    <w:p w14:paraId="5AC70D6C" w14:textId="0163A3CD" w:rsidR="005B4F1C" w:rsidRDefault="005B4F1C" w:rsidP="00863EF0">
      <w:pPr>
        <w:spacing w:after="0" w:line="0" w:lineRule="atLeast"/>
        <w:jc w:val="both"/>
        <w:rPr>
          <w:rFonts w:ascii="Times New Roman" w:eastAsia="Times New Roman" w:hAnsi="Times New Roman" w:cs="Times New Roman"/>
          <w:sz w:val="24"/>
          <w:szCs w:val="24"/>
          <w:lang w:eastAsia="hr-HR"/>
        </w:rPr>
      </w:pPr>
    </w:p>
    <w:p w14:paraId="2F36DD12" w14:textId="374552D7" w:rsidR="00863EF0" w:rsidRDefault="00863EF0" w:rsidP="00863EF0">
      <w:pPr>
        <w:spacing w:after="0" w:line="240" w:lineRule="auto"/>
        <w:rPr>
          <w:rFonts w:ascii="Times New Roman" w:eastAsia="Calibri" w:hAnsi="Times New Roman" w:cs="Times New Roman"/>
          <w:bCs/>
          <w:sz w:val="24"/>
          <w:szCs w:val="24"/>
        </w:rPr>
      </w:pPr>
      <w:r w:rsidRPr="00B90180">
        <w:rPr>
          <w:rFonts w:ascii="Times New Roman" w:eastAsia="Times New Roman" w:hAnsi="Times New Roman" w:cs="Times New Roman"/>
          <w:bCs/>
          <w:sz w:val="24"/>
          <w:szCs w:val="24"/>
          <w:lang w:val="pl-PL" w:eastAsia="hr-HR"/>
        </w:rPr>
        <w:t>Tablica 20</w:t>
      </w:r>
      <w:r w:rsidRPr="00B90180">
        <w:rPr>
          <w:rFonts w:ascii="Times New Roman" w:eastAsia="Times New Roman" w:hAnsi="Times New Roman" w:cs="Times New Roman"/>
          <w:bCs/>
          <w:sz w:val="24"/>
          <w:szCs w:val="24"/>
          <w:lang w:eastAsia="hr-HR"/>
        </w:rPr>
        <w:t>. Broj/vrijednost i s</w:t>
      </w:r>
      <w:r w:rsidRPr="00B90180">
        <w:rPr>
          <w:rFonts w:ascii="Times New Roman" w:eastAsia="Times New Roman" w:hAnsi="Times New Roman" w:cs="Times New Roman"/>
          <w:bCs/>
          <w:sz w:val="24"/>
          <w:szCs w:val="24"/>
          <w:lang w:val="pl-PL" w:eastAsia="hr-HR"/>
        </w:rPr>
        <w:t>truktura</w:t>
      </w:r>
      <w:r w:rsidRPr="00B90180">
        <w:rPr>
          <w:rFonts w:ascii="Times New Roman" w:eastAsia="Times New Roman" w:hAnsi="Times New Roman" w:cs="Times New Roman"/>
          <w:bCs/>
          <w:sz w:val="24"/>
          <w:szCs w:val="24"/>
          <w:lang w:eastAsia="hr-HR"/>
        </w:rPr>
        <w:t xml:space="preserve"> </w:t>
      </w:r>
      <w:r w:rsidRPr="00B90180">
        <w:rPr>
          <w:rFonts w:ascii="Times New Roman" w:eastAsia="Times New Roman" w:hAnsi="Times New Roman" w:cs="Times New Roman"/>
          <w:bCs/>
          <w:sz w:val="24"/>
          <w:szCs w:val="24"/>
          <w:lang w:val="pl-PL" w:eastAsia="hr-HR"/>
        </w:rPr>
        <w:t>zaprimljenih</w:t>
      </w:r>
      <w:r w:rsidRPr="00B90180">
        <w:rPr>
          <w:rFonts w:ascii="Times New Roman" w:eastAsia="Times New Roman" w:hAnsi="Times New Roman" w:cs="Times New Roman"/>
          <w:bCs/>
          <w:sz w:val="24"/>
          <w:szCs w:val="24"/>
          <w:lang w:eastAsia="hr-HR"/>
        </w:rPr>
        <w:t xml:space="preserve"> </w:t>
      </w:r>
      <w:r w:rsidRPr="00B90180">
        <w:rPr>
          <w:rFonts w:ascii="Times New Roman" w:eastAsia="Times New Roman" w:hAnsi="Times New Roman" w:cs="Times New Roman"/>
          <w:bCs/>
          <w:sz w:val="24"/>
          <w:szCs w:val="24"/>
          <w:lang w:val="pl-PL" w:eastAsia="hr-HR"/>
        </w:rPr>
        <w:t>gotovinskih</w:t>
      </w:r>
      <w:r w:rsidRPr="00B90180">
        <w:rPr>
          <w:rFonts w:ascii="Times New Roman" w:eastAsia="Times New Roman" w:hAnsi="Times New Roman" w:cs="Times New Roman"/>
          <w:bCs/>
          <w:sz w:val="24"/>
          <w:szCs w:val="24"/>
          <w:lang w:eastAsia="hr-HR"/>
        </w:rPr>
        <w:t xml:space="preserve"> </w:t>
      </w:r>
      <w:r w:rsidRPr="00B90180">
        <w:rPr>
          <w:rFonts w:ascii="Times New Roman" w:eastAsia="Times New Roman" w:hAnsi="Times New Roman" w:cs="Times New Roman"/>
          <w:bCs/>
          <w:sz w:val="24"/>
          <w:szCs w:val="24"/>
          <w:lang w:val="pl-PL" w:eastAsia="hr-HR"/>
        </w:rPr>
        <w:t>transakcija u 2022.</w:t>
      </w:r>
      <w:r w:rsidRPr="00B90180">
        <w:rPr>
          <w:rFonts w:ascii="Times New Roman" w:eastAsia="Times New Roman" w:hAnsi="Times New Roman" w:cs="Times New Roman"/>
          <w:bCs/>
          <w:sz w:val="24"/>
          <w:szCs w:val="24"/>
          <w:lang w:eastAsia="hr-HR"/>
        </w:rPr>
        <w:t xml:space="preserve"> </w:t>
      </w:r>
      <w:r w:rsidRPr="00B90180">
        <w:rPr>
          <w:rFonts w:ascii="Times New Roman" w:eastAsia="Times New Roman" w:hAnsi="Times New Roman" w:cs="Times New Roman"/>
          <w:bCs/>
          <w:sz w:val="24"/>
          <w:szCs w:val="24"/>
          <w:lang w:val="pl-PL" w:eastAsia="hr-HR"/>
        </w:rPr>
        <w:t>prema</w:t>
      </w:r>
      <w:r w:rsidRPr="00B90180">
        <w:rPr>
          <w:rFonts w:ascii="Times New Roman" w:eastAsia="Times New Roman" w:hAnsi="Times New Roman" w:cs="Times New Roman"/>
          <w:bCs/>
          <w:sz w:val="24"/>
          <w:szCs w:val="24"/>
          <w:lang w:eastAsia="hr-HR"/>
        </w:rPr>
        <w:t xml:space="preserve"> </w:t>
      </w:r>
      <w:r w:rsidRPr="00B90180">
        <w:rPr>
          <w:rFonts w:ascii="Times New Roman" w:eastAsia="Calibri" w:hAnsi="Times New Roman" w:cs="Times New Roman"/>
          <w:bCs/>
          <w:sz w:val="24"/>
          <w:szCs w:val="24"/>
        </w:rPr>
        <w:t>opisu svrhe (načina provođenja transakcije</w:t>
      </w:r>
      <w:r>
        <w:rPr>
          <w:rFonts w:ascii="Times New Roman" w:eastAsia="Calibri" w:hAnsi="Times New Roman" w:cs="Times New Roman"/>
          <w:bCs/>
          <w:sz w:val="24"/>
          <w:szCs w:val="24"/>
        </w:rPr>
        <w:t>)</w:t>
      </w:r>
    </w:p>
    <w:p w14:paraId="7987CBD5" w14:textId="77777777" w:rsidR="008935FE" w:rsidRPr="00B90180" w:rsidRDefault="008935FE" w:rsidP="00863EF0">
      <w:pPr>
        <w:spacing w:after="0" w:line="240" w:lineRule="auto"/>
        <w:rPr>
          <w:rFonts w:ascii="Times New Roman" w:eastAsia="Calibri" w:hAnsi="Times New Roman" w:cs="Times New Roman"/>
          <w:bCs/>
          <w:sz w:val="24"/>
          <w:szCs w:val="24"/>
        </w:rPr>
      </w:pPr>
    </w:p>
    <w:tbl>
      <w:tblPr>
        <w:tblW w:w="9211" w:type="dxa"/>
        <w:tblLook w:val="04A0" w:firstRow="1" w:lastRow="0" w:firstColumn="1" w:lastColumn="0" w:noHBand="0" w:noVBand="1"/>
      </w:tblPr>
      <w:tblGrid>
        <w:gridCol w:w="3237"/>
        <w:gridCol w:w="1325"/>
        <w:gridCol w:w="1117"/>
        <w:gridCol w:w="2354"/>
        <w:gridCol w:w="1178"/>
      </w:tblGrid>
      <w:tr w:rsidR="00863EF0" w:rsidRPr="00375117" w14:paraId="4360F67A" w14:textId="77777777" w:rsidTr="008935FE">
        <w:trPr>
          <w:trHeight w:val="343"/>
        </w:trPr>
        <w:tc>
          <w:tcPr>
            <w:tcW w:w="323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CBC9B0" w14:textId="6D617B99" w:rsidR="00863EF0" w:rsidRPr="00375117" w:rsidRDefault="00863EF0" w:rsidP="00863EF0">
            <w:pPr>
              <w:spacing w:after="0" w:line="240" w:lineRule="auto"/>
              <w:jc w:val="center"/>
              <w:rPr>
                <w:rFonts w:ascii="Times New Roman" w:eastAsia="Times New Roman" w:hAnsi="Times New Roman" w:cs="Times New Roman"/>
                <w:b/>
                <w:bCs/>
                <w:color w:val="000000"/>
                <w:sz w:val="20"/>
                <w:szCs w:val="20"/>
                <w:lang w:eastAsia="hr-HR"/>
              </w:rPr>
            </w:pPr>
            <w:r w:rsidRPr="00375117">
              <w:rPr>
                <w:rFonts w:ascii="Times New Roman" w:eastAsia="Times New Roman" w:hAnsi="Times New Roman" w:cs="Times New Roman"/>
                <w:b/>
                <w:bCs/>
                <w:color w:val="000000"/>
                <w:sz w:val="20"/>
                <w:szCs w:val="20"/>
                <w:lang w:eastAsia="hr-HR"/>
              </w:rPr>
              <w:t>način provođenja</w:t>
            </w:r>
          </w:p>
        </w:tc>
        <w:tc>
          <w:tcPr>
            <w:tcW w:w="1325" w:type="dxa"/>
            <w:tcBorders>
              <w:top w:val="single" w:sz="4" w:space="0" w:color="auto"/>
              <w:left w:val="nil"/>
              <w:bottom w:val="single" w:sz="4" w:space="0" w:color="auto"/>
              <w:right w:val="single" w:sz="4" w:space="0" w:color="auto"/>
            </w:tcBorders>
            <w:shd w:val="clear" w:color="000000" w:fill="F2F2F2"/>
            <w:noWrap/>
            <w:vAlign w:val="center"/>
            <w:hideMark/>
          </w:tcPr>
          <w:p w14:paraId="33055016" w14:textId="6AAF3D46" w:rsidR="00863EF0" w:rsidRPr="00375117" w:rsidRDefault="00863EF0" w:rsidP="00863EF0">
            <w:pPr>
              <w:spacing w:after="0" w:line="240" w:lineRule="auto"/>
              <w:jc w:val="center"/>
              <w:rPr>
                <w:rFonts w:ascii="Times New Roman" w:eastAsia="Times New Roman" w:hAnsi="Times New Roman" w:cs="Times New Roman"/>
                <w:b/>
                <w:bCs/>
                <w:color w:val="000000"/>
                <w:sz w:val="20"/>
                <w:szCs w:val="20"/>
                <w:lang w:eastAsia="hr-HR"/>
              </w:rPr>
            </w:pPr>
            <w:r w:rsidRPr="00375117">
              <w:rPr>
                <w:rFonts w:ascii="Times New Roman" w:eastAsia="Times New Roman" w:hAnsi="Times New Roman" w:cs="Times New Roman"/>
                <w:b/>
                <w:bCs/>
                <w:color w:val="000000"/>
                <w:sz w:val="20"/>
                <w:szCs w:val="20"/>
                <w:lang w:eastAsia="hr-HR"/>
              </w:rPr>
              <w:t>br.tr.</w:t>
            </w:r>
          </w:p>
        </w:tc>
        <w:tc>
          <w:tcPr>
            <w:tcW w:w="1117" w:type="dxa"/>
            <w:tcBorders>
              <w:top w:val="single" w:sz="4" w:space="0" w:color="auto"/>
              <w:left w:val="nil"/>
              <w:bottom w:val="single" w:sz="4" w:space="0" w:color="auto"/>
              <w:right w:val="single" w:sz="4" w:space="0" w:color="auto"/>
            </w:tcBorders>
            <w:shd w:val="clear" w:color="000000" w:fill="F2F2F2"/>
            <w:noWrap/>
            <w:vAlign w:val="center"/>
            <w:hideMark/>
          </w:tcPr>
          <w:p w14:paraId="6DDE2C17" w14:textId="77777777" w:rsidR="00863EF0" w:rsidRPr="00375117" w:rsidRDefault="00863EF0" w:rsidP="00863EF0">
            <w:pPr>
              <w:spacing w:after="0" w:line="240" w:lineRule="auto"/>
              <w:jc w:val="center"/>
              <w:rPr>
                <w:rFonts w:ascii="Times New Roman" w:eastAsia="Times New Roman" w:hAnsi="Times New Roman" w:cs="Times New Roman"/>
                <w:b/>
                <w:bCs/>
                <w:color w:val="000000"/>
                <w:sz w:val="20"/>
                <w:szCs w:val="20"/>
                <w:lang w:eastAsia="hr-HR"/>
              </w:rPr>
            </w:pPr>
            <w:r w:rsidRPr="00375117">
              <w:rPr>
                <w:rFonts w:ascii="Times New Roman" w:eastAsia="Times New Roman" w:hAnsi="Times New Roman" w:cs="Times New Roman"/>
                <w:b/>
                <w:bCs/>
                <w:color w:val="000000"/>
                <w:sz w:val="20"/>
                <w:szCs w:val="20"/>
                <w:lang w:eastAsia="hr-HR"/>
              </w:rPr>
              <w:t>%</w:t>
            </w:r>
          </w:p>
        </w:tc>
        <w:tc>
          <w:tcPr>
            <w:tcW w:w="2354" w:type="dxa"/>
            <w:tcBorders>
              <w:top w:val="single" w:sz="4" w:space="0" w:color="auto"/>
              <w:left w:val="nil"/>
              <w:bottom w:val="single" w:sz="4" w:space="0" w:color="auto"/>
              <w:right w:val="single" w:sz="4" w:space="0" w:color="auto"/>
            </w:tcBorders>
            <w:shd w:val="clear" w:color="000000" w:fill="F2F2F2"/>
            <w:noWrap/>
            <w:vAlign w:val="center"/>
            <w:hideMark/>
          </w:tcPr>
          <w:p w14:paraId="7F4E4EDC" w14:textId="77777777" w:rsidR="00863EF0" w:rsidRPr="00375117" w:rsidRDefault="00863EF0" w:rsidP="00863EF0">
            <w:pPr>
              <w:spacing w:after="0" w:line="240" w:lineRule="auto"/>
              <w:jc w:val="center"/>
              <w:rPr>
                <w:rFonts w:ascii="Times New Roman" w:eastAsia="Times New Roman" w:hAnsi="Times New Roman" w:cs="Times New Roman"/>
                <w:b/>
                <w:bCs/>
                <w:color w:val="000000"/>
                <w:sz w:val="20"/>
                <w:szCs w:val="20"/>
                <w:lang w:eastAsia="hr-HR"/>
              </w:rPr>
            </w:pPr>
            <w:r w:rsidRPr="00375117">
              <w:rPr>
                <w:rFonts w:ascii="Times New Roman" w:eastAsia="Times New Roman" w:hAnsi="Times New Roman" w:cs="Times New Roman"/>
                <w:b/>
                <w:bCs/>
                <w:color w:val="000000"/>
                <w:sz w:val="20"/>
                <w:szCs w:val="20"/>
                <w:lang w:eastAsia="hr-HR"/>
              </w:rPr>
              <w:t>iznos transakcija/hrk</w:t>
            </w:r>
          </w:p>
        </w:tc>
        <w:tc>
          <w:tcPr>
            <w:tcW w:w="1178" w:type="dxa"/>
            <w:tcBorders>
              <w:top w:val="single" w:sz="4" w:space="0" w:color="auto"/>
              <w:left w:val="nil"/>
              <w:bottom w:val="single" w:sz="4" w:space="0" w:color="auto"/>
              <w:right w:val="single" w:sz="4" w:space="0" w:color="auto"/>
            </w:tcBorders>
            <w:shd w:val="clear" w:color="000000" w:fill="F2F2F2"/>
            <w:noWrap/>
            <w:vAlign w:val="center"/>
            <w:hideMark/>
          </w:tcPr>
          <w:p w14:paraId="7A344C53" w14:textId="77777777" w:rsidR="00863EF0" w:rsidRPr="00375117" w:rsidRDefault="00863EF0" w:rsidP="00863EF0">
            <w:pPr>
              <w:spacing w:after="0" w:line="240" w:lineRule="auto"/>
              <w:jc w:val="center"/>
              <w:rPr>
                <w:rFonts w:ascii="Times New Roman" w:eastAsia="Times New Roman" w:hAnsi="Times New Roman" w:cs="Times New Roman"/>
                <w:b/>
                <w:bCs/>
                <w:color w:val="000000"/>
                <w:sz w:val="20"/>
                <w:szCs w:val="20"/>
                <w:lang w:eastAsia="hr-HR"/>
              </w:rPr>
            </w:pPr>
            <w:r w:rsidRPr="00375117">
              <w:rPr>
                <w:rFonts w:ascii="Times New Roman" w:eastAsia="Times New Roman" w:hAnsi="Times New Roman" w:cs="Times New Roman"/>
                <w:b/>
                <w:bCs/>
                <w:color w:val="000000"/>
                <w:sz w:val="20"/>
                <w:szCs w:val="20"/>
                <w:lang w:eastAsia="hr-HR"/>
              </w:rPr>
              <w:t>%</w:t>
            </w:r>
          </w:p>
        </w:tc>
      </w:tr>
      <w:tr w:rsidR="008935FE" w:rsidRPr="00375117" w14:paraId="7EAB7737" w14:textId="77777777" w:rsidTr="008935FE">
        <w:trPr>
          <w:trHeight w:val="343"/>
        </w:trPr>
        <w:tc>
          <w:tcPr>
            <w:tcW w:w="3237" w:type="dxa"/>
            <w:tcBorders>
              <w:top w:val="nil"/>
              <w:left w:val="single" w:sz="4" w:space="0" w:color="auto"/>
              <w:bottom w:val="single" w:sz="4" w:space="0" w:color="auto"/>
              <w:right w:val="single" w:sz="4" w:space="0" w:color="auto"/>
            </w:tcBorders>
            <w:shd w:val="clear" w:color="auto" w:fill="auto"/>
            <w:noWrap/>
            <w:vAlign w:val="center"/>
            <w:hideMark/>
          </w:tcPr>
          <w:p w14:paraId="79DC7691" w14:textId="60C4326E" w:rsidR="008935FE" w:rsidRPr="00375117" w:rsidRDefault="008935FE"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 xml:space="preserve">isplata </w:t>
            </w:r>
          </w:p>
        </w:tc>
        <w:tc>
          <w:tcPr>
            <w:tcW w:w="1325" w:type="dxa"/>
            <w:tcBorders>
              <w:top w:val="nil"/>
              <w:left w:val="nil"/>
              <w:bottom w:val="single" w:sz="4" w:space="0" w:color="auto"/>
              <w:right w:val="single" w:sz="4" w:space="0" w:color="auto"/>
            </w:tcBorders>
            <w:shd w:val="clear" w:color="auto" w:fill="auto"/>
            <w:noWrap/>
            <w:vAlign w:val="center"/>
            <w:hideMark/>
          </w:tcPr>
          <w:p w14:paraId="19BD871F" w14:textId="77777777" w:rsidR="008935FE" w:rsidRPr="00375117" w:rsidRDefault="008935FE"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42.888</w:t>
            </w:r>
          </w:p>
        </w:tc>
        <w:tc>
          <w:tcPr>
            <w:tcW w:w="1117" w:type="dxa"/>
            <w:tcBorders>
              <w:top w:val="nil"/>
              <w:left w:val="nil"/>
              <w:bottom w:val="single" w:sz="4" w:space="0" w:color="auto"/>
              <w:right w:val="single" w:sz="4" w:space="0" w:color="auto"/>
            </w:tcBorders>
            <w:shd w:val="clear" w:color="auto" w:fill="auto"/>
            <w:noWrap/>
            <w:vAlign w:val="center"/>
            <w:hideMark/>
          </w:tcPr>
          <w:p w14:paraId="16F58037" w14:textId="77777777" w:rsidR="008935FE" w:rsidRPr="00375117" w:rsidRDefault="008935FE"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62,30%</w:t>
            </w:r>
          </w:p>
        </w:tc>
        <w:tc>
          <w:tcPr>
            <w:tcW w:w="2354" w:type="dxa"/>
            <w:tcBorders>
              <w:top w:val="nil"/>
              <w:left w:val="nil"/>
              <w:bottom w:val="single" w:sz="4" w:space="0" w:color="auto"/>
              <w:right w:val="single" w:sz="4" w:space="0" w:color="auto"/>
            </w:tcBorders>
            <w:shd w:val="clear" w:color="auto" w:fill="auto"/>
            <w:noWrap/>
            <w:vAlign w:val="center"/>
            <w:hideMark/>
          </w:tcPr>
          <w:p w14:paraId="63446A30" w14:textId="77777777" w:rsidR="008935FE" w:rsidRPr="00375117" w:rsidRDefault="008935FE" w:rsidP="00863EF0">
            <w:pPr>
              <w:spacing w:after="0" w:line="240" w:lineRule="auto"/>
              <w:jc w:val="right"/>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15.202.260.691,19</w:t>
            </w:r>
          </w:p>
        </w:tc>
        <w:tc>
          <w:tcPr>
            <w:tcW w:w="1178" w:type="dxa"/>
            <w:tcBorders>
              <w:top w:val="nil"/>
              <w:left w:val="nil"/>
              <w:bottom w:val="single" w:sz="4" w:space="0" w:color="auto"/>
              <w:right w:val="single" w:sz="4" w:space="0" w:color="auto"/>
            </w:tcBorders>
            <w:shd w:val="clear" w:color="auto" w:fill="auto"/>
            <w:noWrap/>
            <w:vAlign w:val="center"/>
            <w:hideMark/>
          </w:tcPr>
          <w:p w14:paraId="52AA93B8" w14:textId="77777777" w:rsidR="008935FE" w:rsidRPr="00375117" w:rsidRDefault="008935FE"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60,70%</w:t>
            </w:r>
          </w:p>
        </w:tc>
      </w:tr>
      <w:tr w:rsidR="00863EF0" w:rsidRPr="00375117" w14:paraId="63FC869E" w14:textId="77777777" w:rsidTr="008935FE">
        <w:trPr>
          <w:trHeight w:val="343"/>
        </w:trPr>
        <w:tc>
          <w:tcPr>
            <w:tcW w:w="3237" w:type="dxa"/>
            <w:tcBorders>
              <w:top w:val="nil"/>
              <w:left w:val="single" w:sz="4" w:space="0" w:color="auto"/>
              <w:bottom w:val="single" w:sz="4" w:space="0" w:color="auto"/>
              <w:right w:val="single" w:sz="4" w:space="0" w:color="auto"/>
            </w:tcBorders>
            <w:shd w:val="clear" w:color="auto" w:fill="auto"/>
            <w:noWrap/>
            <w:vAlign w:val="center"/>
            <w:hideMark/>
          </w:tcPr>
          <w:p w14:paraId="13096781" w14:textId="7AA43B3C"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mjenjački poslovi</w:t>
            </w:r>
          </w:p>
        </w:tc>
        <w:tc>
          <w:tcPr>
            <w:tcW w:w="1325" w:type="dxa"/>
            <w:tcBorders>
              <w:top w:val="nil"/>
              <w:left w:val="nil"/>
              <w:bottom w:val="single" w:sz="4" w:space="0" w:color="auto"/>
              <w:right w:val="single" w:sz="4" w:space="0" w:color="auto"/>
            </w:tcBorders>
            <w:shd w:val="clear" w:color="auto" w:fill="auto"/>
            <w:noWrap/>
            <w:vAlign w:val="center"/>
            <w:hideMark/>
          </w:tcPr>
          <w:p w14:paraId="6AD47057" w14:textId="4F3D1F0A"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1460</w:t>
            </w:r>
          </w:p>
        </w:tc>
        <w:tc>
          <w:tcPr>
            <w:tcW w:w="1117" w:type="dxa"/>
            <w:tcBorders>
              <w:top w:val="nil"/>
              <w:left w:val="nil"/>
              <w:bottom w:val="single" w:sz="4" w:space="0" w:color="auto"/>
              <w:right w:val="single" w:sz="4" w:space="0" w:color="auto"/>
            </w:tcBorders>
            <w:shd w:val="clear" w:color="auto" w:fill="auto"/>
            <w:noWrap/>
            <w:vAlign w:val="center"/>
            <w:hideMark/>
          </w:tcPr>
          <w:p w14:paraId="72E6A773"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2,12%</w:t>
            </w:r>
          </w:p>
        </w:tc>
        <w:tc>
          <w:tcPr>
            <w:tcW w:w="2354" w:type="dxa"/>
            <w:tcBorders>
              <w:top w:val="nil"/>
              <w:left w:val="nil"/>
              <w:bottom w:val="single" w:sz="4" w:space="0" w:color="auto"/>
              <w:right w:val="single" w:sz="4" w:space="0" w:color="auto"/>
            </w:tcBorders>
            <w:shd w:val="clear" w:color="auto" w:fill="auto"/>
            <w:noWrap/>
            <w:vAlign w:val="center"/>
            <w:hideMark/>
          </w:tcPr>
          <w:p w14:paraId="15B2CBB5" w14:textId="1836F159" w:rsidR="00863EF0" w:rsidRPr="00375117" w:rsidRDefault="00863EF0" w:rsidP="00863EF0">
            <w:pPr>
              <w:spacing w:after="0" w:line="240" w:lineRule="auto"/>
              <w:jc w:val="right"/>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522.580.063,52</w:t>
            </w:r>
          </w:p>
        </w:tc>
        <w:tc>
          <w:tcPr>
            <w:tcW w:w="1178" w:type="dxa"/>
            <w:tcBorders>
              <w:top w:val="nil"/>
              <w:left w:val="nil"/>
              <w:bottom w:val="single" w:sz="4" w:space="0" w:color="auto"/>
              <w:right w:val="single" w:sz="4" w:space="0" w:color="auto"/>
            </w:tcBorders>
            <w:shd w:val="clear" w:color="auto" w:fill="auto"/>
            <w:noWrap/>
            <w:vAlign w:val="center"/>
            <w:hideMark/>
          </w:tcPr>
          <w:p w14:paraId="073DAC02" w14:textId="7A03B586"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2,09%</w:t>
            </w:r>
          </w:p>
        </w:tc>
      </w:tr>
      <w:tr w:rsidR="00863EF0" w:rsidRPr="00375117" w14:paraId="5FADBEDE" w14:textId="77777777" w:rsidTr="008935FE">
        <w:trPr>
          <w:trHeight w:val="343"/>
        </w:trPr>
        <w:tc>
          <w:tcPr>
            <w:tcW w:w="3237" w:type="dxa"/>
            <w:tcBorders>
              <w:top w:val="nil"/>
              <w:left w:val="single" w:sz="4" w:space="0" w:color="auto"/>
              <w:bottom w:val="single" w:sz="4" w:space="0" w:color="auto"/>
              <w:right w:val="single" w:sz="4" w:space="0" w:color="auto"/>
            </w:tcBorders>
            <w:shd w:val="clear" w:color="auto" w:fill="auto"/>
            <w:noWrap/>
            <w:vAlign w:val="center"/>
            <w:hideMark/>
          </w:tcPr>
          <w:p w14:paraId="69C53695" w14:textId="7FBF6090" w:rsidR="00863EF0" w:rsidRPr="00375117" w:rsidRDefault="00863EF0" w:rsidP="00863EF0">
            <w:pPr>
              <w:spacing w:after="0" w:line="240" w:lineRule="auto"/>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uplata</w:t>
            </w:r>
          </w:p>
        </w:tc>
        <w:tc>
          <w:tcPr>
            <w:tcW w:w="1325" w:type="dxa"/>
            <w:tcBorders>
              <w:top w:val="nil"/>
              <w:left w:val="nil"/>
              <w:bottom w:val="single" w:sz="4" w:space="0" w:color="auto"/>
              <w:right w:val="single" w:sz="4" w:space="0" w:color="auto"/>
            </w:tcBorders>
            <w:shd w:val="clear" w:color="auto" w:fill="auto"/>
            <w:noWrap/>
            <w:vAlign w:val="center"/>
            <w:hideMark/>
          </w:tcPr>
          <w:p w14:paraId="4DCBF481"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24.495</w:t>
            </w:r>
          </w:p>
        </w:tc>
        <w:tc>
          <w:tcPr>
            <w:tcW w:w="1117" w:type="dxa"/>
            <w:tcBorders>
              <w:top w:val="nil"/>
              <w:left w:val="nil"/>
              <w:bottom w:val="single" w:sz="4" w:space="0" w:color="auto"/>
              <w:right w:val="single" w:sz="4" w:space="0" w:color="auto"/>
            </w:tcBorders>
            <w:shd w:val="clear" w:color="auto" w:fill="auto"/>
            <w:noWrap/>
            <w:vAlign w:val="center"/>
            <w:hideMark/>
          </w:tcPr>
          <w:p w14:paraId="246FD4CD"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35,58%</w:t>
            </w:r>
          </w:p>
        </w:tc>
        <w:tc>
          <w:tcPr>
            <w:tcW w:w="2354" w:type="dxa"/>
            <w:tcBorders>
              <w:top w:val="nil"/>
              <w:left w:val="nil"/>
              <w:bottom w:val="single" w:sz="4" w:space="0" w:color="auto"/>
              <w:right w:val="single" w:sz="4" w:space="0" w:color="auto"/>
            </w:tcBorders>
            <w:shd w:val="clear" w:color="auto" w:fill="auto"/>
            <w:noWrap/>
            <w:vAlign w:val="center"/>
            <w:hideMark/>
          </w:tcPr>
          <w:p w14:paraId="71439170" w14:textId="77777777" w:rsidR="00863EF0" w:rsidRPr="00375117" w:rsidRDefault="00863EF0" w:rsidP="00863EF0">
            <w:pPr>
              <w:spacing w:after="0" w:line="240" w:lineRule="auto"/>
              <w:jc w:val="right"/>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9.320.236.485,18</w:t>
            </w:r>
          </w:p>
        </w:tc>
        <w:tc>
          <w:tcPr>
            <w:tcW w:w="1178" w:type="dxa"/>
            <w:tcBorders>
              <w:top w:val="nil"/>
              <w:left w:val="nil"/>
              <w:bottom w:val="single" w:sz="4" w:space="0" w:color="auto"/>
              <w:right w:val="single" w:sz="4" w:space="0" w:color="auto"/>
            </w:tcBorders>
            <w:shd w:val="clear" w:color="auto" w:fill="auto"/>
            <w:noWrap/>
            <w:vAlign w:val="center"/>
            <w:hideMark/>
          </w:tcPr>
          <w:p w14:paraId="482F7524" w14:textId="77777777" w:rsidR="00863EF0" w:rsidRPr="00375117" w:rsidRDefault="00863EF0" w:rsidP="00863EF0">
            <w:pPr>
              <w:spacing w:after="0" w:line="240" w:lineRule="auto"/>
              <w:jc w:val="center"/>
              <w:rPr>
                <w:rFonts w:ascii="Times New Roman" w:eastAsia="Times New Roman" w:hAnsi="Times New Roman" w:cs="Times New Roman"/>
                <w:color w:val="000000"/>
                <w:sz w:val="20"/>
                <w:szCs w:val="20"/>
                <w:lang w:eastAsia="hr-HR"/>
              </w:rPr>
            </w:pPr>
            <w:r w:rsidRPr="00375117">
              <w:rPr>
                <w:rFonts w:ascii="Times New Roman" w:eastAsia="Times New Roman" w:hAnsi="Times New Roman" w:cs="Times New Roman"/>
                <w:color w:val="000000"/>
                <w:sz w:val="20"/>
                <w:szCs w:val="20"/>
                <w:lang w:eastAsia="hr-HR"/>
              </w:rPr>
              <w:t>37,21%</w:t>
            </w:r>
          </w:p>
        </w:tc>
      </w:tr>
      <w:tr w:rsidR="00863EF0" w:rsidRPr="00375117" w14:paraId="4A3DE7AF" w14:textId="77777777" w:rsidTr="008935FE">
        <w:trPr>
          <w:trHeight w:val="343"/>
        </w:trPr>
        <w:tc>
          <w:tcPr>
            <w:tcW w:w="3237" w:type="dxa"/>
            <w:tcBorders>
              <w:top w:val="nil"/>
              <w:left w:val="single" w:sz="4" w:space="0" w:color="auto"/>
              <w:bottom w:val="single" w:sz="4" w:space="0" w:color="auto"/>
              <w:right w:val="single" w:sz="4" w:space="0" w:color="auto"/>
            </w:tcBorders>
            <w:shd w:val="clear" w:color="000000" w:fill="F2F2F2"/>
            <w:noWrap/>
            <w:vAlign w:val="center"/>
            <w:hideMark/>
          </w:tcPr>
          <w:p w14:paraId="27802DDB" w14:textId="7D11C941" w:rsidR="00863EF0" w:rsidRPr="00375117" w:rsidRDefault="00863EF0" w:rsidP="00863EF0">
            <w:pPr>
              <w:spacing w:after="0" w:line="240" w:lineRule="auto"/>
              <w:jc w:val="right"/>
              <w:rPr>
                <w:rFonts w:ascii="Times New Roman" w:eastAsia="Times New Roman" w:hAnsi="Times New Roman" w:cs="Times New Roman"/>
                <w:b/>
                <w:color w:val="000000"/>
                <w:sz w:val="20"/>
                <w:szCs w:val="20"/>
                <w:lang w:eastAsia="hr-HR"/>
              </w:rPr>
            </w:pPr>
            <w:r w:rsidRPr="00375117">
              <w:rPr>
                <w:rFonts w:ascii="Times New Roman" w:eastAsia="Times New Roman" w:hAnsi="Times New Roman" w:cs="Times New Roman"/>
                <w:b/>
                <w:color w:val="000000"/>
                <w:sz w:val="20"/>
                <w:szCs w:val="20"/>
                <w:lang w:eastAsia="hr-HR"/>
              </w:rPr>
              <w:t>ukupno:</w:t>
            </w:r>
          </w:p>
        </w:tc>
        <w:tc>
          <w:tcPr>
            <w:tcW w:w="1325" w:type="dxa"/>
            <w:tcBorders>
              <w:top w:val="nil"/>
              <w:left w:val="nil"/>
              <w:bottom w:val="single" w:sz="4" w:space="0" w:color="auto"/>
              <w:right w:val="single" w:sz="4" w:space="0" w:color="auto"/>
            </w:tcBorders>
            <w:shd w:val="clear" w:color="000000" w:fill="F2F2F2"/>
            <w:noWrap/>
            <w:vAlign w:val="center"/>
            <w:hideMark/>
          </w:tcPr>
          <w:p w14:paraId="7B6BF0EA" w14:textId="77777777" w:rsidR="00863EF0" w:rsidRPr="00375117"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375117">
              <w:rPr>
                <w:rFonts w:ascii="Times New Roman" w:eastAsia="Times New Roman" w:hAnsi="Times New Roman" w:cs="Times New Roman"/>
                <w:b/>
                <w:color w:val="000000"/>
                <w:sz w:val="20"/>
                <w:szCs w:val="20"/>
                <w:lang w:eastAsia="hr-HR"/>
              </w:rPr>
              <w:t>68.843</w:t>
            </w:r>
          </w:p>
        </w:tc>
        <w:tc>
          <w:tcPr>
            <w:tcW w:w="1117" w:type="dxa"/>
            <w:tcBorders>
              <w:top w:val="nil"/>
              <w:left w:val="nil"/>
              <w:bottom w:val="single" w:sz="4" w:space="0" w:color="auto"/>
              <w:right w:val="single" w:sz="4" w:space="0" w:color="auto"/>
            </w:tcBorders>
            <w:shd w:val="clear" w:color="auto" w:fill="auto"/>
            <w:noWrap/>
            <w:vAlign w:val="center"/>
            <w:hideMark/>
          </w:tcPr>
          <w:p w14:paraId="77063059" w14:textId="77777777" w:rsidR="00863EF0" w:rsidRPr="00375117"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375117">
              <w:rPr>
                <w:rFonts w:ascii="Times New Roman" w:eastAsia="Times New Roman" w:hAnsi="Times New Roman" w:cs="Times New Roman"/>
                <w:b/>
                <w:color w:val="000000"/>
                <w:sz w:val="20"/>
                <w:szCs w:val="20"/>
                <w:lang w:eastAsia="hr-HR"/>
              </w:rPr>
              <w:t>100,00%</w:t>
            </w:r>
          </w:p>
        </w:tc>
        <w:tc>
          <w:tcPr>
            <w:tcW w:w="2354" w:type="dxa"/>
            <w:tcBorders>
              <w:top w:val="nil"/>
              <w:left w:val="nil"/>
              <w:bottom w:val="single" w:sz="4" w:space="0" w:color="auto"/>
              <w:right w:val="single" w:sz="4" w:space="0" w:color="auto"/>
            </w:tcBorders>
            <w:shd w:val="clear" w:color="000000" w:fill="F2F2F2"/>
            <w:noWrap/>
            <w:vAlign w:val="center"/>
            <w:hideMark/>
          </w:tcPr>
          <w:p w14:paraId="4379C38A" w14:textId="77777777" w:rsidR="00863EF0" w:rsidRPr="00375117" w:rsidRDefault="00863EF0" w:rsidP="00863EF0">
            <w:pPr>
              <w:spacing w:after="0" w:line="240" w:lineRule="auto"/>
              <w:jc w:val="right"/>
              <w:rPr>
                <w:rFonts w:ascii="Times New Roman" w:eastAsia="Times New Roman" w:hAnsi="Times New Roman" w:cs="Times New Roman"/>
                <w:b/>
                <w:color w:val="000000"/>
                <w:sz w:val="20"/>
                <w:szCs w:val="20"/>
                <w:lang w:eastAsia="hr-HR"/>
              </w:rPr>
            </w:pPr>
            <w:r w:rsidRPr="00375117">
              <w:rPr>
                <w:rFonts w:ascii="Times New Roman" w:eastAsia="Times New Roman" w:hAnsi="Times New Roman" w:cs="Times New Roman"/>
                <w:b/>
                <w:color w:val="000000"/>
                <w:sz w:val="20"/>
                <w:szCs w:val="20"/>
                <w:lang w:eastAsia="hr-HR"/>
              </w:rPr>
              <w:t>25.045.077.239,89</w:t>
            </w:r>
          </w:p>
        </w:tc>
        <w:tc>
          <w:tcPr>
            <w:tcW w:w="1178" w:type="dxa"/>
            <w:tcBorders>
              <w:top w:val="nil"/>
              <w:left w:val="nil"/>
              <w:bottom w:val="single" w:sz="4" w:space="0" w:color="auto"/>
              <w:right w:val="single" w:sz="4" w:space="0" w:color="auto"/>
            </w:tcBorders>
            <w:shd w:val="clear" w:color="auto" w:fill="auto"/>
            <w:noWrap/>
            <w:vAlign w:val="center"/>
            <w:hideMark/>
          </w:tcPr>
          <w:p w14:paraId="314F4CB1" w14:textId="77777777" w:rsidR="00863EF0" w:rsidRPr="00375117" w:rsidRDefault="00863EF0" w:rsidP="00863EF0">
            <w:pPr>
              <w:spacing w:after="0" w:line="240" w:lineRule="auto"/>
              <w:jc w:val="center"/>
              <w:rPr>
                <w:rFonts w:ascii="Times New Roman" w:eastAsia="Times New Roman" w:hAnsi="Times New Roman" w:cs="Times New Roman"/>
                <w:b/>
                <w:color w:val="000000"/>
                <w:sz w:val="20"/>
                <w:szCs w:val="20"/>
                <w:lang w:eastAsia="hr-HR"/>
              </w:rPr>
            </w:pPr>
            <w:r w:rsidRPr="00375117">
              <w:rPr>
                <w:rFonts w:ascii="Times New Roman" w:eastAsia="Times New Roman" w:hAnsi="Times New Roman" w:cs="Times New Roman"/>
                <w:b/>
                <w:color w:val="000000"/>
                <w:sz w:val="20"/>
                <w:szCs w:val="20"/>
                <w:lang w:eastAsia="hr-HR"/>
              </w:rPr>
              <w:t>100,00%</w:t>
            </w:r>
          </w:p>
        </w:tc>
      </w:tr>
    </w:tbl>
    <w:p w14:paraId="43EE060E" w14:textId="765D409C" w:rsidR="00863EF0" w:rsidRDefault="00863EF0" w:rsidP="00863EF0">
      <w:pPr>
        <w:spacing w:after="0" w:line="0" w:lineRule="atLeast"/>
        <w:jc w:val="both"/>
        <w:rPr>
          <w:rFonts w:ascii="Times New Roman" w:eastAsia="Times New Roman" w:hAnsi="Times New Roman" w:cs="Times New Roman"/>
          <w:b/>
          <w:bCs/>
          <w:sz w:val="24"/>
          <w:szCs w:val="24"/>
        </w:rPr>
      </w:pPr>
    </w:p>
    <w:p w14:paraId="20D8B445" w14:textId="77777777" w:rsidR="008935FE" w:rsidRDefault="008935FE" w:rsidP="00863EF0">
      <w:pPr>
        <w:spacing w:after="0" w:line="0" w:lineRule="atLeast"/>
        <w:jc w:val="both"/>
        <w:rPr>
          <w:rFonts w:ascii="Times New Roman" w:eastAsia="Times New Roman" w:hAnsi="Times New Roman" w:cs="Times New Roman"/>
          <w:bCs/>
          <w:sz w:val="24"/>
          <w:szCs w:val="24"/>
        </w:rPr>
      </w:pPr>
    </w:p>
    <w:p w14:paraId="59E22049" w14:textId="4B6FF361" w:rsidR="002118EE" w:rsidRDefault="002118EE" w:rsidP="00863EF0">
      <w:pPr>
        <w:spacing w:after="0" w:line="0" w:lineRule="atLeast"/>
        <w:jc w:val="both"/>
        <w:rPr>
          <w:rFonts w:ascii="Times New Roman" w:eastAsia="Times New Roman" w:hAnsi="Times New Roman" w:cs="Times New Roman"/>
          <w:bCs/>
          <w:sz w:val="24"/>
          <w:szCs w:val="24"/>
        </w:rPr>
      </w:pPr>
      <w:r>
        <w:rPr>
          <w:rFonts w:ascii="Times New Roman" w:eastAsia="Times New Roman" w:hAnsi="Times New Roman" w:cs="Times New Roman"/>
          <w:b/>
          <w:bCs/>
          <w:noProof/>
          <w:sz w:val="24"/>
          <w:szCs w:val="24"/>
          <w:lang w:eastAsia="hr-HR"/>
        </w:rPr>
        <w:lastRenderedPageBreak/>
        <w:drawing>
          <wp:anchor distT="0" distB="0" distL="114300" distR="114300" simplePos="0" relativeHeight="251662336" behindDoc="0" locked="0" layoutInCell="1" allowOverlap="1" wp14:anchorId="7C070212" wp14:editId="31BE1152">
            <wp:simplePos x="0" y="0"/>
            <wp:positionH relativeFrom="margin">
              <wp:align>left</wp:align>
            </wp:positionH>
            <wp:positionV relativeFrom="paragraph">
              <wp:posOffset>193040</wp:posOffset>
            </wp:positionV>
            <wp:extent cx="2371725" cy="1426319"/>
            <wp:effectExtent l="0" t="0" r="0" b="0"/>
            <wp:wrapTopAndBottom/>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71725" cy="1426319"/>
                    </a:xfrm>
                    <a:prstGeom prst="rect">
                      <a:avLst/>
                    </a:prstGeom>
                    <a:noFill/>
                  </pic:spPr>
                </pic:pic>
              </a:graphicData>
            </a:graphic>
            <wp14:sizeRelH relativeFrom="margin">
              <wp14:pctWidth>0</wp14:pctWidth>
            </wp14:sizeRelH>
            <wp14:sizeRelV relativeFrom="margin">
              <wp14:pctHeight>0</wp14:pctHeight>
            </wp14:sizeRelV>
          </wp:anchor>
        </w:drawing>
      </w:r>
      <w:r w:rsidR="00863EF0" w:rsidRPr="00A85905">
        <w:rPr>
          <w:rFonts w:ascii="Times New Roman" w:eastAsia="Times New Roman" w:hAnsi="Times New Roman" w:cs="Times New Roman"/>
          <w:bCs/>
          <w:sz w:val="24"/>
          <w:szCs w:val="24"/>
        </w:rPr>
        <w:t>Grafikon 8.</w:t>
      </w:r>
    </w:p>
    <w:p w14:paraId="285DBE3E" w14:textId="474D68FA" w:rsidR="008935FE" w:rsidRDefault="008935FE" w:rsidP="00863EF0">
      <w:pPr>
        <w:spacing w:after="0" w:line="0" w:lineRule="atLeast"/>
        <w:jc w:val="both"/>
        <w:rPr>
          <w:rFonts w:ascii="Times New Roman" w:eastAsia="Times New Roman" w:hAnsi="Times New Roman" w:cs="Times New Roman"/>
          <w:b/>
          <w:bCs/>
          <w:sz w:val="24"/>
          <w:szCs w:val="24"/>
        </w:rPr>
      </w:pPr>
    </w:p>
    <w:p w14:paraId="069C9DEC" w14:textId="77777777" w:rsidR="008935FE" w:rsidRDefault="008935FE" w:rsidP="00863EF0">
      <w:pPr>
        <w:spacing w:after="0" w:line="0" w:lineRule="atLeast"/>
        <w:jc w:val="both"/>
        <w:rPr>
          <w:rFonts w:ascii="Times New Roman" w:eastAsia="Times New Roman" w:hAnsi="Times New Roman" w:cs="Times New Roman"/>
          <w:b/>
          <w:bCs/>
          <w:sz w:val="24"/>
          <w:szCs w:val="24"/>
        </w:rPr>
      </w:pPr>
    </w:p>
    <w:p w14:paraId="6D5378DF" w14:textId="63DBE993" w:rsidR="00863EF0" w:rsidRPr="002118EE" w:rsidRDefault="00863EF0" w:rsidP="00863EF0">
      <w:pPr>
        <w:spacing w:after="0" w:line="0" w:lineRule="atLeast"/>
        <w:jc w:val="both"/>
        <w:rPr>
          <w:rFonts w:ascii="Times New Roman" w:eastAsia="Times New Roman" w:hAnsi="Times New Roman" w:cs="Times New Roman"/>
          <w:bCs/>
          <w:sz w:val="24"/>
          <w:szCs w:val="24"/>
        </w:rPr>
      </w:pPr>
      <w:r w:rsidRPr="00906640">
        <w:rPr>
          <w:rFonts w:ascii="Times New Roman" w:eastAsia="Times New Roman" w:hAnsi="Times New Roman" w:cs="Times New Roman"/>
          <w:b/>
          <w:bCs/>
          <w:sz w:val="24"/>
          <w:szCs w:val="24"/>
        </w:rPr>
        <w:t>Podatci o broju/vrijednosti i strukturi zaprimljenih gotovinskih transakcija u 202</w:t>
      </w:r>
      <w:r>
        <w:rPr>
          <w:rFonts w:ascii="Times New Roman" w:eastAsia="Times New Roman" w:hAnsi="Times New Roman" w:cs="Times New Roman"/>
          <w:b/>
          <w:bCs/>
          <w:sz w:val="24"/>
          <w:szCs w:val="24"/>
        </w:rPr>
        <w:t>2</w:t>
      </w:r>
      <w:r w:rsidRPr="00906640">
        <w:rPr>
          <w:rFonts w:ascii="Times New Roman" w:eastAsia="Times New Roman" w:hAnsi="Times New Roman" w:cs="Times New Roman"/>
          <w:b/>
          <w:bCs/>
          <w:sz w:val="24"/>
          <w:szCs w:val="24"/>
        </w:rPr>
        <w:t>. prema opisu svrhe (namjene) transakcije</w:t>
      </w:r>
    </w:p>
    <w:p w14:paraId="3650FD98" w14:textId="68A0F9D6" w:rsidR="00863EF0" w:rsidRDefault="00863EF0" w:rsidP="00863EF0">
      <w:pPr>
        <w:spacing w:after="0" w:line="0" w:lineRule="atLeast"/>
        <w:jc w:val="both"/>
        <w:rPr>
          <w:rFonts w:ascii="Times New Roman" w:eastAsia="Times New Roman" w:hAnsi="Times New Roman" w:cs="Times New Roman"/>
          <w:sz w:val="24"/>
          <w:szCs w:val="24"/>
          <w:lang w:eastAsia="hr-HR"/>
        </w:rPr>
      </w:pPr>
    </w:p>
    <w:p w14:paraId="5C1D905A" w14:textId="59A6C9F4" w:rsidR="00863EF0" w:rsidRPr="004C08E8" w:rsidRDefault="00863EF0" w:rsidP="00863EF0">
      <w:pPr>
        <w:spacing w:after="0" w:line="0" w:lineRule="atLeast"/>
        <w:jc w:val="both"/>
        <w:rPr>
          <w:rFonts w:ascii="Times New Roman" w:eastAsia="Times New Roman" w:hAnsi="Times New Roman" w:cs="Times New Roman"/>
          <w:sz w:val="24"/>
          <w:szCs w:val="24"/>
          <w:lang w:eastAsia="hr-HR"/>
        </w:rPr>
      </w:pPr>
      <w:r w:rsidRPr="004C08E8">
        <w:rPr>
          <w:rFonts w:ascii="Times New Roman" w:eastAsia="Times New Roman" w:hAnsi="Times New Roman" w:cs="Times New Roman"/>
          <w:sz w:val="24"/>
          <w:szCs w:val="24"/>
          <w:lang w:eastAsia="hr-HR"/>
        </w:rPr>
        <w:t>U Tablici</w:t>
      </w:r>
      <w:r>
        <w:rPr>
          <w:rFonts w:ascii="Times New Roman" w:eastAsia="Times New Roman" w:hAnsi="Times New Roman" w:cs="Times New Roman"/>
          <w:sz w:val="24"/>
          <w:szCs w:val="24"/>
          <w:lang w:eastAsia="hr-HR"/>
        </w:rPr>
        <w:t xml:space="preserve"> 21</w:t>
      </w:r>
      <w:r w:rsidRPr="004C08E8">
        <w:rPr>
          <w:rFonts w:ascii="Times New Roman" w:eastAsia="Times New Roman" w:hAnsi="Times New Roman" w:cs="Times New Roman"/>
          <w:sz w:val="24"/>
          <w:szCs w:val="24"/>
          <w:lang w:eastAsia="hr-HR"/>
        </w:rPr>
        <w:t>. prikazan je broj/vrijednost i struktura gotovinskih transakcija zaprimljenih u 2022.</w:t>
      </w:r>
      <w:r w:rsidRPr="004C08E8">
        <w:rPr>
          <w:rFonts w:ascii="Times New Roman" w:eastAsia="Times New Roman" w:hAnsi="Times New Roman" w:cs="Times New Roman"/>
          <w:b/>
          <w:bCs/>
          <w:sz w:val="24"/>
          <w:szCs w:val="24"/>
          <w:lang w:eastAsia="hr-HR"/>
        </w:rPr>
        <w:t xml:space="preserve"> </w:t>
      </w:r>
      <w:r w:rsidRPr="004C08E8">
        <w:rPr>
          <w:rFonts w:ascii="Times New Roman" w:eastAsia="Times New Roman" w:hAnsi="Times New Roman" w:cs="Times New Roman"/>
          <w:bCs/>
          <w:sz w:val="24"/>
          <w:szCs w:val="24"/>
          <w:lang w:eastAsia="hr-HR"/>
        </w:rPr>
        <w:t xml:space="preserve">prema opisu svrhe (namjene) transakcije. </w:t>
      </w:r>
      <w:r w:rsidRPr="004C08E8">
        <w:rPr>
          <w:rFonts w:ascii="Times New Roman" w:eastAsia="Times New Roman" w:hAnsi="Times New Roman" w:cs="Times New Roman"/>
          <w:sz w:val="24"/>
          <w:szCs w:val="24"/>
          <w:lang w:eastAsia="hr-HR"/>
        </w:rPr>
        <w:t xml:space="preserve">Od ukupno 68.843 gotovinskih transakcija u 2022. za 52,14% odnosno 35.897 gotovinskih transakcija kao svrha transakcije navedena je štednja, za </w:t>
      </w:r>
      <w:r w:rsidRPr="004C08E8">
        <w:rPr>
          <w:rFonts w:ascii="Times New Roman" w:eastAsia="Times New Roman" w:hAnsi="Times New Roman" w:cs="Times New Roman"/>
          <w:color w:val="000000"/>
          <w:sz w:val="24"/>
          <w:szCs w:val="24"/>
          <w:lang w:eastAsia="hr-HR"/>
        </w:rPr>
        <w:t xml:space="preserve">23,68 % odnosno </w:t>
      </w:r>
      <w:r w:rsidRPr="004C08E8">
        <w:rPr>
          <w:rFonts w:ascii="Times New Roman" w:eastAsia="Times New Roman" w:hAnsi="Times New Roman" w:cs="Times New Roman"/>
          <w:sz w:val="24"/>
          <w:szCs w:val="24"/>
          <w:lang w:eastAsia="hr-HR"/>
        </w:rPr>
        <w:t>16.299 gotovinskih transakcija kao svrha provođenja transakcije navedena je nekretnina, za 3,74</w:t>
      </w:r>
      <w:r w:rsidRPr="004C08E8">
        <w:rPr>
          <w:rFonts w:ascii="Times New Roman" w:eastAsia="Times New Roman" w:hAnsi="Times New Roman" w:cs="Times New Roman"/>
          <w:color w:val="000000"/>
          <w:sz w:val="24"/>
          <w:szCs w:val="24"/>
          <w:lang w:eastAsia="hr-HR"/>
        </w:rPr>
        <w:t xml:space="preserve">% odnosno 2.576 </w:t>
      </w:r>
      <w:r w:rsidRPr="004C08E8">
        <w:rPr>
          <w:rFonts w:ascii="Times New Roman" w:eastAsia="Times New Roman" w:hAnsi="Times New Roman" w:cs="Times New Roman"/>
          <w:sz w:val="24"/>
          <w:szCs w:val="24"/>
          <w:lang w:eastAsia="hr-HR"/>
        </w:rPr>
        <w:t xml:space="preserve">gotovinskih transakcija kao svrha provođenja transakcije navedene su potrebe blagajne. Ukupna vrijednost transakcija u vrijednosti 200.000,00 kn i višoj koje su obavljene u gotovini u svrhu štednje u 2022. iznosila je </w:t>
      </w:r>
      <w:r w:rsidRPr="004C08E8">
        <w:rPr>
          <w:rFonts w:ascii="Times New Roman" w:eastAsia="Times New Roman" w:hAnsi="Times New Roman" w:cs="Times New Roman"/>
          <w:color w:val="000000"/>
          <w:sz w:val="24"/>
          <w:szCs w:val="24"/>
          <w:lang w:eastAsia="hr-HR"/>
        </w:rPr>
        <w:t>12.707.874.161,35 HRK</w:t>
      </w:r>
      <w:r w:rsidRPr="004C08E8">
        <w:rPr>
          <w:rFonts w:ascii="Times New Roman" w:eastAsia="Times New Roman" w:hAnsi="Times New Roman" w:cs="Times New Roman"/>
          <w:sz w:val="24"/>
          <w:szCs w:val="24"/>
          <w:lang w:eastAsia="hr-HR"/>
        </w:rPr>
        <w:t xml:space="preserve">, a u svrhu nekretnine </w:t>
      </w:r>
      <w:r w:rsidRPr="004C08E8">
        <w:rPr>
          <w:rFonts w:ascii="Times New Roman" w:eastAsia="Times New Roman" w:hAnsi="Times New Roman" w:cs="Times New Roman"/>
          <w:bCs/>
          <w:color w:val="000000"/>
          <w:sz w:val="24"/>
          <w:szCs w:val="24"/>
          <w:lang w:eastAsia="hr-HR"/>
        </w:rPr>
        <w:t>6.595.336.556,25 HRK .</w:t>
      </w:r>
      <w:r w:rsidRPr="004C08E8">
        <w:rPr>
          <w:rFonts w:ascii="Times New Roman" w:eastAsia="Times New Roman" w:hAnsi="Times New Roman" w:cs="Times New Roman"/>
          <w:sz w:val="24"/>
          <w:szCs w:val="24"/>
          <w:lang w:eastAsia="hr-HR"/>
        </w:rPr>
        <w:t xml:space="preserve"> </w:t>
      </w:r>
    </w:p>
    <w:p w14:paraId="7537A841" w14:textId="7DC20D7A" w:rsidR="00863EF0" w:rsidRPr="00906640" w:rsidRDefault="00863EF0" w:rsidP="00863EF0">
      <w:pPr>
        <w:spacing w:after="0" w:line="240" w:lineRule="auto"/>
        <w:rPr>
          <w:rFonts w:ascii="Times New Roman" w:eastAsia="Times New Roman" w:hAnsi="Times New Roman" w:cs="Times New Roman"/>
          <w:b/>
          <w:bCs/>
          <w:sz w:val="24"/>
          <w:szCs w:val="24"/>
          <w:lang w:eastAsia="hr-HR"/>
        </w:rPr>
      </w:pPr>
    </w:p>
    <w:tbl>
      <w:tblPr>
        <w:tblpPr w:leftFromText="180" w:rightFromText="180" w:vertAnchor="page" w:horzAnchor="page" w:tblpXSpec="center" w:tblpY="8656"/>
        <w:tblW w:w="10718" w:type="dxa"/>
        <w:tblLook w:val="04A0" w:firstRow="1" w:lastRow="0" w:firstColumn="1" w:lastColumn="0" w:noHBand="0" w:noVBand="1"/>
      </w:tblPr>
      <w:tblGrid>
        <w:gridCol w:w="1026"/>
        <w:gridCol w:w="1183"/>
        <w:gridCol w:w="966"/>
        <w:gridCol w:w="1746"/>
        <w:gridCol w:w="966"/>
        <w:gridCol w:w="1183"/>
        <w:gridCol w:w="966"/>
        <w:gridCol w:w="1716"/>
        <w:gridCol w:w="966"/>
      </w:tblGrid>
      <w:tr w:rsidR="008935FE" w:rsidRPr="001C77A9" w14:paraId="59F0908E" w14:textId="77777777" w:rsidTr="008935FE">
        <w:trPr>
          <w:trHeight w:val="164"/>
        </w:trPr>
        <w:tc>
          <w:tcPr>
            <w:tcW w:w="1026" w:type="dxa"/>
            <w:vMerge w:val="restart"/>
            <w:tcBorders>
              <w:top w:val="single" w:sz="8" w:space="0" w:color="auto"/>
              <w:left w:val="single" w:sz="8" w:space="0" w:color="auto"/>
              <w:bottom w:val="single" w:sz="8" w:space="0" w:color="000000"/>
              <w:right w:val="single" w:sz="8" w:space="0" w:color="auto"/>
            </w:tcBorders>
            <w:shd w:val="clear" w:color="000000" w:fill="F2F2F2"/>
            <w:noWrap/>
            <w:vAlign w:val="center"/>
            <w:hideMark/>
          </w:tcPr>
          <w:p w14:paraId="36C324E5" w14:textId="77777777" w:rsidR="008935FE" w:rsidRPr="001C77A9" w:rsidRDefault="008935FE" w:rsidP="008935FE">
            <w:pPr>
              <w:spacing w:after="0" w:line="240" w:lineRule="auto"/>
              <w:rPr>
                <w:rFonts w:ascii="Times New Roman" w:eastAsia="Times New Roman" w:hAnsi="Times New Roman" w:cs="Times New Roman"/>
                <w:b/>
                <w:bCs/>
                <w:color w:val="000000"/>
                <w:sz w:val="20"/>
                <w:szCs w:val="20"/>
                <w:lang w:eastAsia="hr-HR"/>
              </w:rPr>
            </w:pPr>
            <w:r w:rsidRPr="001C77A9">
              <w:rPr>
                <w:rFonts w:ascii="Times New Roman" w:eastAsia="Times New Roman" w:hAnsi="Times New Roman" w:cs="Times New Roman"/>
                <w:b/>
                <w:bCs/>
                <w:color w:val="000000"/>
                <w:sz w:val="20"/>
                <w:szCs w:val="20"/>
                <w:lang w:eastAsia="hr-HR"/>
              </w:rPr>
              <w:t>svrha</w:t>
            </w:r>
          </w:p>
        </w:tc>
        <w:tc>
          <w:tcPr>
            <w:tcW w:w="4861" w:type="dxa"/>
            <w:gridSpan w:val="4"/>
            <w:tcBorders>
              <w:top w:val="single" w:sz="8" w:space="0" w:color="auto"/>
              <w:left w:val="nil"/>
              <w:bottom w:val="single" w:sz="8" w:space="0" w:color="auto"/>
              <w:right w:val="single" w:sz="8" w:space="0" w:color="auto"/>
            </w:tcBorders>
            <w:shd w:val="clear" w:color="000000" w:fill="F2F2F2"/>
            <w:noWrap/>
            <w:vAlign w:val="center"/>
            <w:hideMark/>
          </w:tcPr>
          <w:p w14:paraId="776B403A" w14:textId="77777777" w:rsidR="008935FE" w:rsidRPr="001C77A9" w:rsidRDefault="008935FE" w:rsidP="008935FE">
            <w:pPr>
              <w:spacing w:after="0" w:line="240" w:lineRule="auto"/>
              <w:jc w:val="center"/>
              <w:rPr>
                <w:rFonts w:ascii="Times New Roman" w:eastAsia="Times New Roman" w:hAnsi="Times New Roman" w:cs="Times New Roman"/>
                <w:b/>
                <w:bCs/>
                <w:color w:val="000000"/>
                <w:sz w:val="20"/>
                <w:szCs w:val="20"/>
                <w:lang w:eastAsia="hr-HR"/>
              </w:rPr>
            </w:pPr>
            <w:r w:rsidRPr="001C77A9">
              <w:rPr>
                <w:rFonts w:ascii="Times New Roman" w:eastAsia="Times New Roman" w:hAnsi="Times New Roman" w:cs="Times New Roman"/>
                <w:b/>
                <w:bCs/>
                <w:color w:val="000000"/>
                <w:sz w:val="20"/>
                <w:szCs w:val="20"/>
                <w:lang w:eastAsia="hr-HR"/>
              </w:rPr>
              <w:t>2021.</w:t>
            </w:r>
          </w:p>
        </w:tc>
        <w:tc>
          <w:tcPr>
            <w:tcW w:w="4831" w:type="dxa"/>
            <w:gridSpan w:val="4"/>
            <w:tcBorders>
              <w:top w:val="single" w:sz="8" w:space="0" w:color="auto"/>
              <w:left w:val="nil"/>
              <w:bottom w:val="single" w:sz="8" w:space="0" w:color="auto"/>
              <w:right w:val="single" w:sz="8" w:space="0" w:color="auto"/>
            </w:tcBorders>
            <w:shd w:val="clear" w:color="000000" w:fill="F2F2F2"/>
            <w:vAlign w:val="center"/>
            <w:hideMark/>
          </w:tcPr>
          <w:p w14:paraId="688BE582" w14:textId="77777777" w:rsidR="008935FE" w:rsidRPr="001C77A9" w:rsidRDefault="008935FE" w:rsidP="008935FE">
            <w:pPr>
              <w:spacing w:after="0" w:line="240" w:lineRule="auto"/>
              <w:jc w:val="center"/>
              <w:rPr>
                <w:rFonts w:ascii="Times New Roman" w:eastAsia="Times New Roman" w:hAnsi="Times New Roman" w:cs="Times New Roman"/>
                <w:b/>
                <w:bCs/>
                <w:color w:val="000000"/>
                <w:sz w:val="20"/>
                <w:szCs w:val="20"/>
                <w:lang w:eastAsia="hr-HR"/>
              </w:rPr>
            </w:pPr>
            <w:r w:rsidRPr="001C77A9">
              <w:rPr>
                <w:rFonts w:ascii="Times New Roman" w:eastAsia="Times New Roman" w:hAnsi="Times New Roman" w:cs="Times New Roman"/>
                <w:b/>
                <w:bCs/>
                <w:color w:val="000000"/>
                <w:sz w:val="20"/>
                <w:szCs w:val="20"/>
                <w:lang w:eastAsia="hr-HR"/>
              </w:rPr>
              <w:t>2022.</w:t>
            </w:r>
          </w:p>
        </w:tc>
      </w:tr>
      <w:tr w:rsidR="008935FE" w:rsidRPr="001C77A9" w14:paraId="0BC8C498" w14:textId="77777777" w:rsidTr="008935FE">
        <w:trPr>
          <w:trHeight w:val="411"/>
        </w:trPr>
        <w:tc>
          <w:tcPr>
            <w:tcW w:w="1026" w:type="dxa"/>
            <w:vMerge/>
            <w:tcBorders>
              <w:top w:val="single" w:sz="8" w:space="0" w:color="auto"/>
              <w:left w:val="single" w:sz="8" w:space="0" w:color="auto"/>
              <w:bottom w:val="single" w:sz="8" w:space="0" w:color="000000"/>
              <w:right w:val="single" w:sz="8" w:space="0" w:color="auto"/>
            </w:tcBorders>
            <w:vAlign w:val="center"/>
            <w:hideMark/>
          </w:tcPr>
          <w:p w14:paraId="7CE679BD" w14:textId="77777777" w:rsidR="008935FE" w:rsidRPr="001C77A9" w:rsidRDefault="008935FE" w:rsidP="008935FE">
            <w:pPr>
              <w:spacing w:after="0" w:line="240" w:lineRule="auto"/>
              <w:rPr>
                <w:rFonts w:ascii="Times New Roman" w:eastAsia="Times New Roman" w:hAnsi="Times New Roman" w:cs="Times New Roman"/>
                <w:b/>
                <w:bCs/>
                <w:color w:val="000000"/>
                <w:sz w:val="20"/>
                <w:szCs w:val="20"/>
                <w:lang w:eastAsia="hr-HR"/>
              </w:rPr>
            </w:pPr>
          </w:p>
        </w:tc>
        <w:tc>
          <w:tcPr>
            <w:tcW w:w="1183" w:type="dxa"/>
            <w:tcBorders>
              <w:top w:val="nil"/>
              <w:left w:val="nil"/>
              <w:bottom w:val="single" w:sz="8" w:space="0" w:color="auto"/>
              <w:right w:val="single" w:sz="8" w:space="0" w:color="auto"/>
            </w:tcBorders>
            <w:shd w:val="clear" w:color="000000" w:fill="F2F2F2"/>
            <w:vAlign w:val="center"/>
            <w:hideMark/>
          </w:tcPr>
          <w:p w14:paraId="30D945EA" w14:textId="77777777" w:rsidR="008935FE" w:rsidRPr="001C77A9" w:rsidRDefault="008935FE" w:rsidP="008935FE">
            <w:pPr>
              <w:spacing w:after="0" w:line="240" w:lineRule="auto"/>
              <w:jc w:val="center"/>
              <w:rPr>
                <w:rFonts w:ascii="Times New Roman" w:eastAsia="Times New Roman" w:hAnsi="Times New Roman" w:cs="Times New Roman"/>
                <w:b/>
                <w:bCs/>
                <w:color w:val="000000"/>
                <w:sz w:val="20"/>
                <w:szCs w:val="20"/>
                <w:lang w:eastAsia="hr-HR"/>
              </w:rPr>
            </w:pPr>
            <w:r w:rsidRPr="001C77A9">
              <w:rPr>
                <w:rFonts w:ascii="Times New Roman" w:eastAsia="Times New Roman" w:hAnsi="Times New Roman" w:cs="Times New Roman"/>
                <w:b/>
                <w:bCs/>
                <w:color w:val="000000"/>
                <w:sz w:val="20"/>
                <w:szCs w:val="20"/>
                <w:lang w:eastAsia="hr-HR"/>
              </w:rPr>
              <w:t>broj transakcija</w:t>
            </w:r>
          </w:p>
        </w:tc>
        <w:tc>
          <w:tcPr>
            <w:tcW w:w="966" w:type="dxa"/>
            <w:tcBorders>
              <w:top w:val="nil"/>
              <w:left w:val="nil"/>
              <w:bottom w:val="single" w:sz="8" w:space="0" w:color="auto"/>
              <w:right w:val="single" w:sz="8" w:space="0" w:color="auto"/>
            </w:tcBorders>
            <w:shd w:val="clear" w:color="000000" w:fill="F2F2F2"/>
            <w:vAlign w:val="center"/>
            <w:hideMark/>
          </w:tcPr>
          <w:p w14:paraId="1A5BFE66" w14:textId="77777777" w:rsidR="008935FE" w:rsidRPr="001C77A9" w:rsidRDefault="008935FE" w:rsidP="008935FE">
            <w:pPr>
              <w:spacing w:after="0" w:line="240" w:lineRule="auto"/>
              <w:jc w:val="center"/>
              <w:rPr>
                <w:rFonts w:ascii="Times New Roman" w:eastAsia="Times New Roman" w:hAnsi="Times New Roman" w:cs="Times New Roman"/>
                <w:b/>
                <w:bCs/>
                <w:color w:val="000000"/>
                <w:sz w:val="20"/>
                <w:szCs w:val="20"/>
                <w:lang w:eastAsia="hr-HR"/>
              </w:rPr>
            </w:pPr>
            <w:r w:rsidRPr="001C77A9">
              <w:rPr>
                <w:rFonts w:ascii="Times New Roman" w:eastAsia="Times New Roman" w:hAnsi="Times New Roman" w:cs="Times New Roman"/>
                <w:b/>
                <w:bCs/>
                <w:color w:val="000000"/>
                <w:sz w:val="20"/>
                <w:szCs w:val="20"/>
                <w:lang w:eastAsia="hr-HR"/>
              </w:rPr>
              <w:t>%</w:t>
            </w:r>
          </w:p>
        </w:tc>
        <w:tc>
          <w:tcPr>
            <w:tcW w:w="1746" w:type="dxa"/>
            <w:tcBorders>
              <w:top w:val="nil"/>
              <w:left w:val="nil"/>
              <w:bottom w:val="single" w:sz="8" w:space="0" w:color="auto"/>
              <w:right w:val="single" w:sz="8" w:space="0" w:color="auto"/>
            </w:tcBorders>
            <w:shd w:val="clear" w:color="000000" w:fill="F2F2F2"/>
            <w:vAlign w:val="center"/>
            <w:hideMark/>
          </w:tcPr>
          <w:p w14:paraId="563B411B" w14:textId="77777777" w:rsidR="008935FE" w:rsidRPr="001C77A9" w:rsidRDefault="008935FE" w:rsidP="008935FE">
            <w:pPr>
              <w:spacing w:after="0" w:line="240" w:lineRule="auto"/>
              <w:jc w:val="center"/>
              <w:rPr>
                <w:rFonts w:ascii="Times New Roman" w:eastAsia="Times New Roman" w:hAnsi="Times New Roman" w:cs="Times New Roman"/>
                <w:b/>
                <w:bCs/>
                <w:color w:val="000000"/>
                <w:sz w:val="20"/>
                <w:szCs w:val="20"/>
                <w:lang w:eastAsia="hr-HR"/>
              </w:rPr>
            </w:pPr>
            <w:r w:rsidRPr="001C77A9">
              <w:rPr>
                <w:rFonts w:ascii="Times New Roman" w:eastAsia="Times New Roman" w:hAnsi="Times New Roman" w:cs="Times New Roman"/>
                <w:b/>
                <w:bCs/>
                <w:color w:val="000000"/>
                <w:sz w:val="20"/>
                <w:szCs w:val="20"/>
                <w:lang w:eastAsia="hr-HR"/>
              </w:rPr>
              <w:t>iznos transakcija</w:t>
            </w:r>
          </w:p>
        </w:tc>
        <w:tc>
          <w:tcPr>
            <w:tcW w:w="966" w:type="dxa"/>
            <w:tcBorders>
              <w:top w:val="nil"/>
              <w:left w:val="nil"/>
              <w:bottom w:val="single" w:sz="8" w:space="0" w:color="auto"/>
              <w:right w:val="single" w:sz="8" w:space="0" w:color="auto"/>
            </w:tcBorders>
            <w:shd w:val="clear" w:color="000000" w:fill="F2F2F2"/>
            <w:vAlign w:val="center"/>
            <w:hideMark/>
          </w:tcPr>
          <w:p w14:paraId="3A3D8F89" w14:textId="77777777" w:rsidR="008935FE" w:rsidRPr="001C77A9" w:rsidRDefault="008935FE" w:rsidP="008935FE">
            <w:pPr>
              <w:spacing w:after="0" w:line="240" w:lineRule="auto"/>
              <w:jc w:val="center"/>
              <w:rPr>
                <w:rFonts w:ascii="Times New Roman" w:eastAsia="Times New Roman" w:hAnsi="Times New Roman" w:cs="Times New Roman"/>
                <w:b/>
                <w:bCs/>
                <w:color w:val="000000"/>
                <w:sz w:val="20"/>
                <w:szCs w:val="20"/>
                <w:lang w:eastAsia="hr-HR"/>
              </w:rPr>
            </w:pPr>
            <w:r w:rsidRPr="001C77A9">
              <w:rPr>
                <w:rFonts w:ascii="Times New Roman" w:eastAsia="Times New Roman" w:hAnsi="Times New Roman" w:cs="Times New Roman"/>
                <w:b/>
                <w:bCs/>
                <w:color w:val="000000"/>
                <w:sz w:val="20"/>
                <w:szCs w:val="20"/>
                <w:lang w:eastAsia="hr-HR"/>
              </w:rPr>
              <w:t>%</w:t>
            </w:r>
          </w:p>
        </w:tc>
        <w:tc>
          <w:tcPr>
            <w:tcW w:w="1183" w:type="dxa"/>
            <w:tcBorders>
              <w:top w:val="nil"/>
              <w:left w:val="nil"/>
              <w:bottom w:val="single" w:sz="8" w:space="0" w:color="auto"/>
              <w:right w:val="single" w:sz="8" w:space="0" w:color="auto"/>
            </w:tcBorders>
            <w:shd w:val="clear" w:color="000000" w:fill="F2F2F2"/>
            <w:vAlign w:val="center"/>
            <w:hideMark/>
          </w:tcPr>
          <w:p w14:paraId="66B855BB" w14:textId="77777777" w:rsidR="008935FE" w:rsidRPr="001C77A9" w:rsidRDefault="008935FE" w:rsidP="008935FE">
            <w:pPr>
              <w:spacing w:after="0" w:line="240" w:lineRule="auto"/>
              <w:jc w:val="center"/>
              <w:rPr>
                <w:rFonts w:ascii="Times New Roman" w:eastAsia="Times New Roman" w:hAnsi="Times New Roman" w:cs="Times New Roman"/>
                <w:b/>
                <w:bCs/>
                <w:color w:val="000000"/>
                <w:sz w:val="20"/>
                <w:szCs w:val="20"/>
                <w:lang w:eastAsia="hr-HR"/>
              </w:rPr>
            </w:pPr>
            <w:r w:rsidRPr="001C77A9">
              <w:rPr>
                <w:rFonts w:ascii="Times New Roman" w:eastAsia="Times New Roman" w:hAnsi="Times New Roman" w:cs="Times New Roman"/>
                <w:b/>
                <w:bCs/>
                <w:color w:val="000000"/>
                <w:sz w:val="20"/>
                <w:szCs w:val="20"/>
                <w:lang w:eastAsia="hr-HR"/>
              </w:rPr>
              <w:t>broj transakcija</w:t>
            </w:r>
          </w:p>
        </w:tc>
        <w:tc>
          <w:tcPr>
            <w:tcW w:w="966" w:type="dxa"/>
            <w:tcBorders>
              <w:top w:val="nil"/>
              <w:left w:val="nil"/>
              <w:bottom w:val="single" w:sz="8" w:space="0" w:color="auto"/>
              <w:right w:val="single" w:sz="8" w:space="0" w:color="auto"/>
            </w:tcBorders>
            <w:shd w:val="clear" w:color="000000" w:fill="F2F2F2"/>
            <w:vAlign w:val="center"/>
            <w:hideMark/>
          </w:tcPr>
          <w:p w14:paraId="48BDD467" w14:textId="77777777" w:rsidR="008935FE" w:rsidRPr="001C77A9" w:rsidRDefault="008935FE" w:rsidP="008935FE">
            <w:pPr>
              <w:spacing w:after="0" w:line="240" w:lineRule="auto"/>
              <w:jc w:val="center"/>
              <w:rPr>
                <w:rFonts w:ascii="Times New Roman" w:eastAsia="Times New Roman" w:hAnsi="Times New Roman" w:cs="Times New Roman"/>
                <w:b/>
                <w:bCs/>
                <w:color w:val="000000"/>
                <w:sz w:val="20"/>
                <w:szCs w:val="20"/>
                <w:lang w:eastAsia="hr-HR"/>
              </w:rPr>
            </w:pPr>
            <w:r w:rsidRPr="001C77A9">
              <w:rPr>
                <w:rFonts w:ascii="Times New Roman" w:eastAsia="Times New Roman" w:hAnsi="Times New Roman" w:cs="Times New Roman"/>
                <w:b/>
                <w:bCs/>
                <w:color w:val="000000"/>
                <w:sz w:val="20"/>
                <w:szCs w:val="20"/>
                <w:lang w:eastAsia="hr-HR"/>
              </w:rPr>
              <w:t>%</w:t>
            </w:r>
          </w:p>
        </w:tc>
        <w:tc>
          <w:tcPr>
            <w:tcW w:w="1716" w:type="dxa"/>
            <w:tcBorders>
              <w:top w:val="nil"/>
              <w:left w:val="nil"/>
              <w:bottom w:val="single" w:sz="8" w:space="0" w:color="auto"/>
              <w:right w:val="single" w:sz="8" w:space="0" w:color="auto"/>
            </w:tcBorders>
            <w:shd w:val="clear" w:color="000000" w:fill="F2F2F2"/>
            <w:vAlign w:val="center"/>
            <w:hideMark/>
          </w:tcPr>
          <w:p w14:paraId="358A5BB8" w14:textId="77777777" w:rsidR="008935FE" w:rsidRPr="001C77A9" w:rsidRDefault="008935FE" w:rsidP="008935FE">
            <w:pPr>
              <w:spacing w:after="0" w:line="240" w:lineRule="auto"/>
              <w:jc w:val="center"/>
              <w:rPr>
                <w:rFonts w:ascii="Times New Roman" w:eastAsia="Times New Roman" w:hAnsi="Times New Roman" w:cs="Times New Roman"/>
                <w:b/>
                <w:bCs/>
                <w:color w:val="000000"/>
                <w:sz w:val="20"/>
                <w:szCs w:val="20"/>
                <w:lang w:eastAsia="hr-HR"/>
              </w:rPr>
            </w:pPr>
            <w:r w:rsidRPr="001C77A9">
              <w:rPr>
                <w:rFonts w:ascii="Times New Roman" w:eastAsia="Times New Roman" w:hAnsi="Times New Roman" w:cs="Times New Roman"/>
                <w:b/>
                <w:bCs/>
                <w:color w:val="000000"/>
                <w:sz w:val="20"/>
                <w:szCs w:val="20"/>
                <w:lang w:eastAsia="hr-HR"/>
              </w:rPr>
              <w:t>iznos transakcija</w:t>
            </w:r>
          </w:p>
        </w:tc>
        <w:tc>
          <w:tcPr>
            <w:tcW w:w="966" w:type="dxa"/>
            <w:tcBorders>
              <w:top w:val="nil"/>
              <w:left w:val="nil"/>
              <w:bottom w:val="single" w:sz="8" w:space="0" w:color="auto"/>
              <w:right w:val="single" w:sz="8" w:space="0" w:color="auto"/>
            </w:tcBorders>
            <w:shd w:val="clear" w:color="000000" w:fill="F2F2F2"/>
            <w:vAlign w:val="center"/>
            <w:hideMark/>
          </w:tcPr>
          <w:p w14:paraId="17ED75B1" w14:textId="77777777" w:rsidR="008935FE" w:rsidRPr="001C77A9" w:rsidRDefault="008935FE" w:rsidP="008935FE">
            <w:pPr>
              <w:spacing w:after="0" w:line="240" w:lineRule="auto"/>
              <w:jc w:val="center"/>
              <w:rPr>
                <w:rFonts w:ascii="Times New Roman" w:eastAsia="Times New Roman" w:hAnsi="Times New Roman" w:cs="Times New Roman"/>
                <w:b/>
                <w:bCs/>
                <w:color w:val="000000"/>
                <w:sz w:val="20"/>
                <w:szCs w:val="20"/>
                <w:lang w:eastAsia="hr-HR"/>
              </w:rPr>
            </w:pPr>
            <w:r w:rsidRPr="001C77A9">
              <w:rPr>
                <w:rFonts w:ascii="Times New Roman" w:eastAsia="Times New Roman" w:hAnsi="Times New Roman" w:cs="Times New Roman"/>
                <w:b/>
                <w:bCs/>
                <w:color w:val="000000"/>
                <w:sz w:val="20"/>
                <w:szCs w:val="20"/>
                <w:lang w:eastAsia="hr-HR"/>
              </w:rPr>
              <w:t>%</w:t>
            </w:r>
          </w:p>
        </w:tc>
      </w:tr>
      <w:tr w:rsidR="008935FE" w:rsidRPr="001C77A9" w14:paraId="6CC8F749" w14:textId="77777777" w:rsidTr="008935FE">
        <w:trPr>
          <w:trHeight w:val="164"/>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14:paraId="302AC506" w14:textId="77777777" w:rsidR="008935FE" w:rsidRPr="001C77A9" w:rsidRDefault="008935FE" w:rsidP="008935FE">
            <w:pPr>
              <w:spacing w:after="0" w:line="240" w:lineRule="auto"/>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štednja</w:t>
            </w:r>
          </w:p>
        </w:tc>
        <w:tc>
          <w:tcPr>
            <w:tcW w:w="1183" w:type="dxa"/>
            <w:tcBorders>
              <w:top w:val="nil"/>
              <w:left w:val="nil"/>
              <w:bottom w:val="single" w:sz="8" w:space="0" w:color="auto"/>
              <w:right w:val="single" w:sz="8" w:space="0" w:color="auto"/>
            </w:tcBorders>
            <w:shd w:val="clear" w:color="auto" w:fill="auto"/>
            <w:noWrap/>
            <w:vAlign w:val="center"/>
            <w:hideMark/>
          </w:tcPr>
          <w:p w14:paraId="73D54DCB"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28.762</w:t>
            </w:r>
          </w:p>
        </w:tc>
        <w:tc>
          <w:tcPr>
            <w:tcW w:w="966" w:type="dxa"/>
            <w:tcBorders>
              <w:top w:val="nil"/>
              <w:left w:val="nil"/>
              <w:bottom w:val="single" w:sz="8" w:space="0" w:color="auto"/>
              <w:right w:val="single" w:sz="8" w:space="0" w:color="auto"/>
            </w:tcBorders>
            <w:shd w:val="clear" w:color="auto" w:fill="auto"/>
            <w:noWrap/>
            <w:vAlign w:val="center"/>
            <w:hideMark/>
          </w:tcPr>
          <w:p w14:paraId="5916640C"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47,17%</w:t>
            </w:r>
          </w:p>
        </w:tc>
        <w:tc>
          <w:tcPr>
            <w:tcW w:w="1746" w:type="dxa"/>
            <w:tcBorders>
              <w:top w:val="nil"/>
              <w:left w:val="nil"/>
              <w:bottom w:val="single" w:sz="8" w:space="0" w:color="auto"/>
              <w:right w:val="single" w:sz="8" w:space="0" w:color="auto"/>
            </w:tcBorders>
            <w:shd w:val="clear" w:color="auto" w:fill="auto"/>
            <w:noWrap/>
            <w:vAlign w:val="center"/>
            <w:hideMark/>
          </w:tcPr>
          <w:p w14:paraId="4B091193"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10.083.028.935,40</w:t>
            </w:r>
          </w:p>
        </w:tc>
        <w:tc>
          <w:tcPr>
            <w:tcW w:w="966" w:type="dxa"/>
            <w:tcBorders>
              <w:top w:val="nil"/>
              <w:left w:val="nil"/>
              <w:bottom w:val="single" w:sz="8" w:space="0" w:color="auto"/>
              <w:right w:val="single" w:sz="8" w:space="0" w:color="auto"/>
            </w:tcBorders>
            <w:shd w:val="clear" w:color="auto" w:fill="auto"/>
            <w:noWrap/>
            <w:vAlign w:val="center"/>
            <w:hideMark/>
          </w:tcPr>
          <w:p w14:paraId="35F41FDA"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47,17%</w:t>
            </w:r>
          </w:p>
        </w:tc>
        <w:tc>
          <w:tcPr>
            <w:tcW w:w="1183" w:type="dxa"/>
            <w:tcBorders>
              <w:top w:val="nil"/>
              <w:left w:val="nil"/>
              <w:bottom w:val="single" w:sz="8" w:space="0" w:color="auto"/>
              <w:right w:val="single" w:sz="8" w:space="0" w:color="auto"/>
            </w:tcBorders>
            <w:shd w:val="clear" w:color="auto" w:fill="auto"/>
            <w:vAlign w:val="center"/>
            <w:hideMark/>
          </w:tcPr>
          <w:p w14:paraId="7176B3CD"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35.897</w:t>
            </w:r>
          </w:p>
        </w:tc>
        <w:tc>
          <w:tcPr>
            <w:tcW w:w="966" w:type="dxa"/>
            <w:tcBorders>
              <w:top w:val="nil"/>
              <w:left w:val="nil"/>
              <w:bottom w:val="single" w:sz="8" w:space="0" w:color="auto"/>
              <w:right w:val="single" w:sz="8" w:space="0" w:color="auto"/>
            </w:tcBorders>
            <w:shd w:val="clear" w:color="auto" w:fill="auto"/>
            <w:vAlign w:val="center"/>
            <w:hideMark/>
          </w:tcPr>
          <w:p w14:paraId="71DCB5DB"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52,14%</w:t>
            </w:r>
          </w:p>
        </w:tc>
        <w:tc>
          <w:tcPr>
            <w:tcW w:w="1716" w:type="dxa"/>
            <w:tcBorders>
              <w:top w:val="nil"/>
              <w:left w:val="nil"/>
              <w:bottom w:val="single" w:sz="8" w:space="0" w:color="auto"/>
              <w:right w:val="single" w:sz="8" w:space="0" w:color="auto"/>
            </w:tcBorders>
            <w:shd w:val="clear" w:color="auto" w:fill="auto"/>
            <w:vAlign w:val="center"/>
            <w:hideMark/>
          </w:tcPr>
          <w:p w14:paraId="3B399276"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12.707.874.161,35</w:t>
            </w:r>
          </w:p>
        </w:tc>
        <w:tc>
          <w:tcPr>
            <w:tcW w:w="966" w:type="dxa"/>
            <w:tcBorders>
              <w:top w:val="nil"/>
              <w:left w:val="nil"/>
              <w:bottom w:val="single" w:sz="8" w:space="0" w:color="auto"/>
              <w:right w:val="single" w:sz="8" w:space="0" w:color="auto"/>
            </w:tcBorders>
            <w:shd w:val="clear" w:color="auto" w:fill="auto"/>
            <w:vAlign w:val="center"/>
            <w:hideMark/>
          </w:tcPr>
          <w:p w14:paraId="2AB4951B"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50,74%</w:t>
            </w:r>
          </w:p>
        </w:tc>
      </w:tr>
      <w:tr w:rsidR="008935FE" w:rsidRPr="001C77A9" w14:paraId="6844E362" w14:textId="77777777" w:rsidTr="008935FE">
        <w:trPr>
          <w:trHeight w:val="164"/>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14:paraId="74C39A7C" w14:textId="77777777" w:rsidR="008935FE" w:rsidRPr="001C77A9" w:rsidRDefault="008935FE" w:rsidP="008935FE">
            <w:pPr>
              <w:spacing w:after="0" w:line="240" w:lineRule="auto"/>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nekretnina</w:t>
            </w:r>
          </w:p>
        </w:tc>
        <w:tc>
          <w:tcPr>
            <w:tcW w:w="1183" w:type="dxa"/>
            <w:tcBorders>
              <w:top w:val="nil"/>
              <w:left w:val="nil"/>
              <w:bottom w:val="single" w:sz="8" w:space="0" w:color="auto"/>
              <w:right w:val="single" w:sz="8" w:space="0" w:color="auto"/>
            </w:tcBorders>
            <w:shd w:val="clear" w:color="auto" w:fill="auto"/>
            <w:noWrap/>
            <w:vAlign w:val="center"/>
            <w:hideMark/>
          </w:tcPr>
          <w:p w14:paraId="0F0A87B4"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15.453</w:t>
            </w:r>
          </w:p>
        </w:tc>
        <w:tc>
          <w:tcPr>
            <w:tcW w:w="966" w:type="dxa"/>
            <w:tcBorders>
              <w:top w:val="nil"/>
              <w:left w:val="nil"/>
              <w:bottom w:val="single" w:sz="8" w:space="0" w:color="auto"/>
              <w:right w:val="single" w:sz="8" w:space="0" w:color="auto"/>
            </w:tcBorders>
            <w:shd w:val="clear" w:color="auto" w:fill="auto"/>
            <w:noWrap/>
            <w:vAlign w:val="center"/>
            <w:hideMark/>
          </w:tcPr>
          <w:p w14:paraId="2204B339"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28,06%</w:t>
            </w:r>
          </w:p>
        </w:tc>
        <w:tc>
          <w:tcPr>
            <w:tcW w:w="1746" w:type="dxa"/>
            <w:tcBorders>
              <w:top w:val="nil"/>
              <w:left w:val="nil"/>
              <w:bottom w:val="single" w:sz="8" w:space="0" w:color="auto"/>
              <w:right w:val="single" w:sz="8" w:space="0" w:color="auto"/>
            </w:tcBorders>
            <w:shd w:val="clear" w:color="auto" w:fill="auto"/>
            <w:noWrap/>
            <w:vAlign w:val="center"/>
            <w:hideMark/>
          </w:tcPr>
          <w:p w14:paraId="295C5957"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5.998.794.020,48</w:t>
            </w:r>
          </w:p>
        </w:tc>
        <w:tc>
          <w:tcPr>
            <w:tcW w:w="966" w:type="dxa"/>
            <w:tcBorders>
              <w:top w:val="nil"/>
              <w:left w:val="nil"/>
              <w:bottom w:val="single" w:sz="8" w:space="0" w:color="auto"/>
              <w:right w:val="single" w:sz="8" w:space="0" w:color="auto"/>
            </w:tcBorders>
            <w:shd w:val="clear" w:color="auto" w:fill="auto"/>
            <w:noWrap/>
            <w:vAlign w:val="center"/>
            <w:hideMark/>
          </w:tcPr>
          <w:p w14:paraId="56DC2AF5"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28,06%</w:t>
            </w:r>
          </w:p>
        </w:tc>
        <w:tc>
          <w:tcPr>
            <w:tcW w:w="1183" w:type="dxa"/>
            <w:tcBorders>
              <w:top w:val="nil"/>
              <w:left w:val="nil"/>
              <w:bottom w:val="single" w:sz="8" w:space="0" w:color="auto"/>
              <w:right w:val="single" w:sz="8" w:space="0" w:color="auto"/>
            </w:tcBorders>
            <w:shd w:val="clear" w:color="auto" w:fill="auto"/>
            <w:vAlign w:val="center"/>
            <w:hideMark/>
          </w:tcPr>
          <w:p w14:paraId="5768D65D"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16.299</w:t>
            </w:r>
          </w:p>
        </w:tc>
        <w:tc>
          <w:tcPr>
            <w:tcW w:w="966" w:type="dxa"/>
            <w:tcBorders>
              <w:top w:val="nil"/>
              <w:left w:val="nil"/>
              <w:bottom w:val="single" w:sz="8" w:space="0" w:color="auto"/>
              <w:right w:val="single" w:sz="8" w:space="0" w:color="auto"/>
            </w:tcBorders>
            <w:shd w:val="clear" w:color="auto" w:fill="auto"/>
            <w:vAlign w:val="center"/>
            <w:hideMark/>
          </w:tcPr>
          <w:p w14:paraId="6BF4940F"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23,68%</w:t>
            </w:r>
          </w:p>
        </w:tc>
        <w:tc>
          <w:tcPr>
            <w:tcW w:w="1716" w:type="dxa"/>
            <w:tcBorders>
              <w:top w:val="nil"/>
              <w:left w:val="nil"/>
              <w:bottom w:val="single" w:sz="8" w:space="0" w:color="auto"/>
              <w:right w:val="single" w:sz="8" w:space="0" w:color="auto"/>
            </w:tcBorders>
            <w:shd w:val="clear" w:color="auto" w:fill="auto"/>
            <w:vAlign w:val="center"/>
            <w:hideMark/>
          </w:tcPr>
          <w:p w14:paraId="20E10155"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6.595.336.556,25</w:t>
            </w:r>
          </w:p>
        </w:tc>
        <w:tc>
          <w:tcPr>
            <w:tcW w:w="966" w:type="dxa"/>
            <w:tcBorders>
              <w:top w:val="nil"/>
              <w:left w:val="nil"/>
              <w:bottom w:val="single" w:sz="8" w:space="0" w:color="auto"/>
              <w:right w:val="single" w:sz="8" w:space="0" w:color="auto"/>
            </w:tcBorders>
            <w:shd w:val="clear" w:color="auto" w:fill="auto"/>
            <w:vAlign w:val="center"/>
            <w:hideMark/>
          </w:tcPr>
          <w:p w14:paraId="72FCD359"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26,33%</w:t>
            </w:r>
          </w:p>
        </w:tc>
      </w:tr>
      <w:tr w:rsidR="008935FE" w:rsidRPr="001C77A9" w14:paraId="6CA794D5" w14:textId="77777777" w:rsidTr="008935FE">
        <w:trPr>
          <w:trHeight w:val="164"/>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14:paraId="35D40FBA" w14:textId="77777777" w:rsidR="008935FE" w:rsidRPr="001C77A9" w:rsidRDefault="008935FE" w:rsidP="008935FE">
            <w:pPr>
              <w:spacing w:after="0" w:line="240" w:lineRule="auto"/>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za potrebe blagajne</w:t>
            </w:r>
          </w:p>
        </w:tc>
        <w:tc>
          <w:tcPr>
            <w:tcW w:w="1183" w:type="dxa"/>
            <w:tcBorders>
              <w:top w:val="nil"/>
              <w:left w:val="nil"/>
              <w:bottom w:val="single" w:sz="8" w:space="0" w:color="auto"/>
              <w:right w:val="single" w:sz="8" w:space="0" w:color="auto"/>
            </w:tcBorders>
            <w:shd w:val="clear" w:color="auto" w:fill="auto"/>
            <w:noWrap/>
            <w:vAlign w:val="center"/>
            <w:hideMark/>
          </w:tcPr>
          <w:p w14:paraId="236C2658"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2.134</w:t>
            </w:r>
          </w:p>
        </w:tc>
        <w:tc>
          <w:tcPr>
            <w:tcW w:w="966" w:type="dxa"/>
            <w:tcBorders>
              <w:top w:val="nil"/>
              <w:left w:val="nil"/>
              <w:bottom w:val="single" w:sz="8" w:space="0" w:color="auto"/>
              <w:right w:val="single" w:sz="8" w:space="0" w:color="auto"/>
            </w:tcBorders>
            <w:shd w:val="clear" w:color="auto" w:fill="auto"/>
            <w:noWrap/>
            <w:vAlign w:val="center"/>
            <w:hideMark/>
          </w:tcPr>
          <w:p w14:paraId="0707B44C"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3,86%</w:t>
            </w:r>
          </w:p>
        </w:tc>
        <w:tc>
          <w:tcPr>
            <w:tcW w:w="1746" w:type="dxa"/>
            <w:tcBorders>
              <w:top w:val="nil"/>
              <w:left w:val="nil"/>
              <w:bottom w:val="single" w:sz="8" w:space="0" w:color="auto"/>
              <w:right w:val="single" w:sz="8" w:space="0" w:color="auto"/>
            </w:tcBorders>
            <w:shd w:val="clear" w:color="auto" w:fill="auto"/>
            <w:noWrap/>
            <w:vAlign w:val="center"/>
            <w:hideMark/>
          </w:tcPr>
          <w:p w14:paraId="4D9C6F2C"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825.671.605,04</w:t>
            </w:r>
          </w:p>
        </w:tc>
        <w:tc>
          <w:tcPr>
            <w:tcW w:w="966" w:type="dxa"/>
            <w:tcBorders>
              <w:top w:val="nil"/>
              <w:left w:val="nil"/>
              <w:bottom w:val="single" w:sz="8" w:space="0" w:color="auto"/>
              <w:right w:val="single" w:sz="8" w:space="0" w:color="auto"/>
            </w:tcBorders>
            <w:shd w:val="clear" w:color="auto" w:fill="auto"/>
            <w:noWrap/>
            <w:vAlign w:val="center"/>
            <w:hideMark/>
          </w:tcPr>
          <w:p w14:paraId="0561C13B"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3,86%</w:t>
            </w:r>
          </w:p>
        </w:tc>
        <w:tc>
          <w:tcPr>
            <w:tcW w:w="1183" w:type="dxa"/>
            <w:tcBorders>
              <w:top w:val="nil"/>
              <w:left w:val="nil"/>
              <w:bottom w:val="single" w:sz="8" w:space="0" w:color="auto"/>
              <w:right w:val="single" w:sz="8" w:space="0" w:color="auto"/>
            </w:tcBorders>
            <w:shd w:val="clear" w:color="auto" w:fill="auto"/>
            <w:vAlign w:val="center"/>
            <w:hideMark/>
          </w:tcPr>
          <w:p w14:paraId="123EAA89"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2.576</w:t>
            </w:r>
          </w:p>
        </w:tc>
        <w:tc>
          <w:tcPr>
            <w:tcW w:w="966" w:type="dxa"/>
            <w:tcBorders>
              <w:top w:val="nil"/>
              <w:left w:val="nil"/>
              <w:bottom w:val="single" w:sz="8" w:space="0" w:color="auto"/>
              <w:right w:val="single" w:sz="8" w:space="0" w:color="auto"/>
            </w:tcBorders>
            <w:shd w:val="clear" w:color="auto" w:fill="auto"/>
            <w:vAlign w:val="center"/>
            <w:hideMark/>
          </w:tcPr>
          <w:p w14:paraId="092102CB"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3,74%</w:t>
            </w:r>
          </w:p>
        </w:tc>
        <w:tc>
          <w:tcPr>
            <w:tcW w:w="1716" w:type="dxa"/>
            <w:tcBorders>
              <w:top w:val="nil"/>
              <w:left w:val="nil"/>
              <w:bottom w:val="single" w:sz="8" w:space="0" w:color="auto"/>
              <w:right w:val="single" w:sz="8" w:space="0" w:color="auto"/>
            </w:tcBorders>
            <w:shd w:val="clear" w:color="auto" w:fill="auto"/>
            <w:vAlign w:val="center"/>
            <w:hideMark/>
          </w:tcPr>
          <w:p w14:paraId="5274E1FD"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947.395.186,55</w:t>
            </w:r>
          </w:p>
        </w:tc>
        <w:tc>
          <w:tcPr>
            <w:tcW w:w="966" w:type="dxa"/>
            <w:tcBorders>
              <w:top w:val="nil"/>
              <w:left w:val="nil"/>
              <w:bottom w:val="single" w:sz="8" w:space="0" w:color="auto"/>
              <w:right w:val="single" w:sz="8" w:space="0" w:color="auto"/>
            </w:tcBorders>
            <w:shd w:val="clear" w:color="auto" w:fill="auto"/>
            <w:vAlign w:val="center"/>
            <w:hideMark/>
          </w:tcPr>
          <w:p w14:paraId="690E823F"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3,78%</w:t>
            </w:r>
          </w:p>
        </w:tc>
      </w:tr>
      <w:tr w:rsidR="008935FE" w:rsidRPr="001C77A9" w14:paraId="729AE600" w14:textId="77777777" w:rsidTr="008935FE">
        <w:trPr>
          <w:trHeight w:val="164"/>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14:paraId="7405A96F" w14:textId="77777777" w:rsidR="008935FE" w:rsidRPr="001C77A9" w:rsidRDefault="008935FE" w:rsidP="008935FE">
            <w:pPr>
              <w:spacing w:after="0" w:line="240" w:lineRule="auto"/>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pozajmica</w:t>
            </w:r>
          </w:p>
        </w:tc>
        <w:tc>
          <w:tcPr>
            <w:tcW w:w="1183" w:type="dxa"/>
            <w:tcBorders>
              <w:top w:val="nil"/>
              <w:left w:val="nil"/>
              <w:bottom w:val="single" w:sz="8" w:space="0" w:color="auto"/>
              <w:right w:val="single" w:sz="8" w:space="0" w:color="auto"/>
            </w:tcBorders>
            <w:shd w:val="clear" w:color="auto" w:fill="auto"/>
            <w:noWrap/>
            <w:vAlign w:val="center"/>
            <w:hideMark/>
          </w:tcPr>
          <w:p w14:paraId="1842037C"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2.528</w:t>
            </w:r>
          </w:p>
        </w:tc>
        <w:tc>
          <w:tcPr>
            <w:tcW w:w="966" w:type="dxa"/>
            <w:tcBorders>
              <w:top w:val="nil"/>
              <w:left w:val="nil"/>
              <w:bottom w:val="single" w:sz="8" w:space="0" w:color="auto"/>
              <w:right w:val="single" w:sz="8" w:space="0" w:color="auto"/>
            </w:tcBorders>
            <w:shd w:val="clear" w:color="auto" w:fill="auto"/>
            <w:noWrap/>
            <w:vAlign w:val="center"/>
            <w:hideMark/>
          </w:tcPr>
          <w:p w14:paraId="378C5EC6"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4,03%</w:t>
            </w:r>
          </w:p>
        </w:tc>
        <w:tc>
          <w:tcPr>
            <w:tcW w:w="1746" w:type="dxa"/>
            <w:tcBorders>
              <w:top w:val="nil"/>
              <w:left w:val="nil"/>
              <w:bottom w:val="single" w:sz="8" w:space="0" w:color="auto"/>
              <w:right w:val="single" w:sz="8" w:space="0" w:color="auto"/>
            </w:tcBorders>
            <w:shd w:val="clear" w:color="auto" w:fill="auto"/>
            <w:noWrap/>
            <w:vAlign w:val="center"/>
            <w:hideMark/>
          </w:tcPr>
          <w:p w14:paraId="1F1CAAA6"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861.559.042,50</w:t>
            </w:r>
          </w:p>
        </w:tc>
        <w:tc>
          <w:tcPr>
            <w:tcW w:w="966" w:type="dxa"/>
            <w:tcBorders>
              <w:top w:val="nil"/>
              <w:left w:val="nil"/>
              <w:bottom w:val="single" w:sz="8" w:space="0" w:color="auto"/>
              <w:right w:val="single" w:sz="8" w:space="0" w:color="auto"/>
            </w:tcBorders>
            <w:shd w:val="clear" w:color="auto" w:fill="auto"/>
            <w:noWrap/>
            <w:vAlign w:val="center"/>
            <w:hideMark/>
          </w:tcPr>
          <w:p w14:paraId="29CB582E"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4,03%</w:t>
            </w:r>
          </w:p>
        </w:tc>
        <w:tc>
          <w:tcPr>
            <w:tcW w:w="1183" w:type="dxa"/>
            <w:tcBorders>
              <w:top w:val="nil"/>
              <w:left w:val="nil"/>
              <w:bottom w:val="single" w:sz="8" w:space="0" w:color="auto"/>
              <w:right w:val="single" w:sz="8" w:space="0" w:color="auto"/>
            </w:tcBorders>
            <w:shd w:val="clear" w:color="auto" w:fill="auto"/>
            <w:vAlign w:val="center"/>
            <w:hideMark/>
          </w:tcPr>
          <w:p w14:paraId="7902A730"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2.357</w:t>
            </w:r>
          </w:p>
        </w:tc>
        <w:tc>
          <w:tcPr>
            <w:tcW w:w="966" w:type="dxa"/>
            <w:tcBorders>
              <w:top w:val="nil"/>
              <w:left w:val="nil"/>
              <w:bottom w:val="single" w:sz="8" w:space="0" w:color="auto"/>
              <w:right w:val="single" w:sz="8" w:space="0" w:color="auto"/>
            </w:tcBorders>
            <w:shd w:val="clear" w:color="auto" w:fill="auto"/>
            <w:vAlign w:val="center"/>
            <w:hideMark/>
          </w:tcPr>
          <w:p w14:paraId="75D4CB67"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3,42%</w:t>
            </w:r>
          </w:p>
        </w:tc>
        <w:tc>
          <w:tcPr>
            <w:tcW w:w="1716" w:type="dxa"/>
            <w:tcBorders>
              <w:top w:val="nil"/>
              <w:left w:val="nil"/>
              <w:bottom w:val="single" w:sz="8" w:space="0" w:color="auto"/>
              <w:right w:val="single" w:sz="8" w:space="0" w:color="auto"/>
            </w:tcBorders>
            <w:shd w:val="clear" w:color="auto" w:fill="auto"/>
            <w:vAlign w:val="center"/>
            <w:hideMark/>
          </w:tcPr>
          <w:p w14:paraId="7F8C2F11"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844.863.427,29</w:t>
            </w:r>
          </w:p>
        </w:tc>
        <w:tc>
          <w:tcPr>
            <w:tcW w:w="966" w:type="dxa"/>
            <w:tcBorders>
              <w:top w:val="nil"/>
              <w:left w:val="nil"/>
              <w:bottom w:val="single" w:sz="8" w:space="0" w:color="auto"/>
              <w:right w:val="single" w:sz="8" w:space="0" w:color="auto"/>
            </w:tcBorders>
            <w:shd w:val="clear" w:color="auto" w:fill="auto"/>
            <w:vAlign w:val="center"/>
            <w:hideMark/>
          </w:tcPr>
          <w:p w14:paraId="3FF69ABC"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3,37%</w:t>
            </w:r>
          </w:p>
        </w:tc>
      </w:tr>
      <w:tr w:rsidR="008935FE" w:rsidRPr="001C77A9" w14:paraId="42FA26B5" w14:textId="77777777" w:rsidTr="008935FE">
        <w:trPr>
          <w:trHeight w:val="164"/>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14:paraId="3B7687AF" w14:textId="77777777" w:rsidR="008935FE" w:rsidRPr="001C77A9" w:rsidRDefault="008935FE" w:rsidP="008935FE">
            <w:pPr>
              <w:spacing w:after="0" w:line="240" w:lineRule="auto"/>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roba</w:t>
            </w:r>
          </w:p>
        </w:tc>
        <w:tc>
          <w:tcPr>
            <w:tcW w:w="1183" w:type="dxa"/>
            <w:tcBorders>
              <w:top w:val="nil"/>
              <w:left w:val="nil"/>
              <w:bottom w:val="single" w:sz="8" w:space="0" w:color="auto"/>
              <w:right w:val="single" w:sz="8" w:space="0" w:color="auto"/>
            </w:tcBorders>
            <w:shd w:val="clear" w:color="auto" w:fill="auto"/>
            <w:noWrap/>
            <w:vAlign w:val="center"/>
            <w:hideMark/>
          </w:tcPr>
          <w:p w14:paraId="4D401DD0"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1.216</w:t>
            </w:r>
          </w:p>
        </w:tc>
        <w:tc>
          <w:tcPr>
            <w:tcW w:w="966" w:type="dxa"/>
            <w:tcBorders>
              <w:top w:val="nil"/>
              <w:left w:val="nil"/>
              <w:bottom w:val="single" w:sz="8" w:space="0" w:color="auto"/>
              <w:right w:val="single" w:sz="8" w:space="0" w:color="auto"/>
            </w:tcBorders>
            <w:shd w:val="clear" w:color="auto" w:fill="auto"/>
            <w:noWrap/>
            <w:vAlign w:val="center"/>
            <w:hideMark/>
          </w:tcPr>
          <w:p w14:paraId="2FC49B37"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1,71%</w:t>
            </w:r>
          </w:p>
        </w:tc>
        <w:tc>
          <w:tcPr>
            <w:tcW w:w="1746" w:type="dxa"/>
            <w:tcBorders>
              <w:top w:val="nil"/>
              <w:left w:val="nil"/>
              <w:bottom w:val="single" w:sz="8" w:space="0" w:color="auto"/>
              <w:right w:val="single" w:sz="8" w:space="0" w:color="auto"/>
            </w:tcBorders>
            <w:shd w:val="clear" w:color="auto" w:fill="auto"/>
            <w:noWrap/>
            <w:vAlign w:val="center"/>
            <w:hideMark/>
          </w:tcPr>
          <w:p w14:paraId="248360FA"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365.700.076,69</w:t>
            </w:r>
          </w:p>
        </w:tc>
        <w:tc>
          <w:tcPr>
            <w:tcW w:w="966" w:type="dxa"/>
            <w:tcBorders>
              <w:top w:val="nil"/>
              <w:left w:val="nil"/>
              <w:bottom w:val="single" w:sz="8" w:space="0" w:color="auto"/>
              <w:right w:val="single" w:sz="8" w:space="0" w:color="auto"/>
            </w:tcBorders>
            <w:shd w:val="clear" w:color="auto" w:fill="auto"/>
            <w:noWrap/>
            <w:vAlign w:val="center"/>
            <w:hideMark/>
          </w:tcPr>
          <w:p w14:paraId="5F2C220C"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1,71%</w:t>
            </w:r>
          </w:p>
        </w:tc>
        <w:tc>
          <w:tcPr>
            <w:tcW w:w="1183" w:type="dxa"/>
            <w:tcBorders>
              <w:top w:val="nil"/>
              <w:left w:val="nil"/>
              <w:bottom w:val="single" w:sz="8" w:space="0" w:color="auto"/>
              <w:right w:val="single" w:sz="8" w:space="0" w:color="auto"/>
            </w:tcBorders>
            <w:shd w:val="clear" w:color="auto" w:fill="auto"/>
            <w:vAlign w:val="center"/>
            <w:hideMark/>
          </w:tcPr>
          <w:p w14:paraId="3B230E49"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1.521</w:t>
            </w:r>
          </w:p>
        </w:tc>
        <w:tc>
          <w:tcPr>
            <w:tcW w:w="966" w:type="dxa"/>
            <w:tcBorders>
              <w:top w:val="nil"/>
              <w:left w:val="nil"/>
              <w:bottom w:val="single" w:sz="8" w:space="0" w:color="auto"/>
              <w:right w:val="single" w:sz="8" w:space="0" w:color="auto"/>
            </w:tcBorders>
            <w:shd w:val="clear" w:color="auto" w:fill="auto"/>
            <w:vAlign w:val="center"/>
            <w:hideMark/>
          </w:tcPr>
          <w:p w14:paraId="4AE7DDE3"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2,21%</w:t>
            </w:r>
          </w:p>
        </w:tc>
        <w:tc>
          <w:tcPr>
            <w:tcW w:w="1716" w:type="dxa"/>
            <w:tcBorders>
              <w:top w:val="nil"/>
              <w:left w:val="nil"/>
              <w:bottom w:val="single" w:sz="8" w:space="0" w:color="auto"/>
              <w:right w:val="single" w:sz="8" w:space="0" w:color="auto"/>
            </w:tcBorders>
            <w:shd w:val="clear" w:color="auto" w:fill="auto"/>
            <w:vAlign w:val="center"/>
            <w:hideMark/>
          </w:tcPr>
          <w:p w14:paraId="3C381F5D"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444.630.706,75</w:t>
            </w:r>
          </w:p>
        </w:tc>
        <w:tc>
          <w:tcPr>
            <w:tcW w:w="966" w:type="dxa"/>
            <w:tcBorders>
              <w:top w:val="nil"/>
              <w:left w:val="nil"/>
              <w:bottom w:val="single" w:sz="8" w:space="0" w:color="auto"/>
              <w:right w:val="single" w:sz="8" w:space="0" w:color="auto"/>
            </w:tcBorders>
            <w:shd w:val="clear" w:color="auto" w:fill="auto"/>
            <w:vAlign w:val="center"/>
            <w:hideMark/>
          </w:tcPr>
          <w:p w14:paraId="5017FAB7"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1,78%</w:t>
            </w:r>
          </w:p>
        </w:tc>
      </w:tr>
      <w:tr w:rsidR="008935FE" w:rsidRPr="001C77A9" w14:paraId="2F7FDBA6" w14:textId="77777777" w:rsidTr="008935FE">
        <w:trPr>
          <w:trHeight w:val="164"/>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14:paraId="11ABBAA2" w14:textId="77777777" w:rsidR="008935FE" w:rsidRPr="001C77A9" w:rsidRDefault="008935FE" w:rsidP="008935FE">
            <w:pPr>
              <w:spacing w:after="0" w:line="240" w:lineRule="auto"/>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darovanje</w:t>
            </w:r>
          </w:p>
        </w:tc>
        <w:tc>
          <w:tcPr>
            <w:tcW w:w="1183" w:type="dxa"/>
            <w:tcBorders>
              <w:top w:val="nil"/>
              <w:left w:val="nil"/>
              <w:bottom w:val="single" w:sz="8" w:space="0" w:color="auto"/>
              <w:right w:val="single" w:sz="8" w:space="0" w:color="auto"/>
            </w:tcBorders>
            <w:shd w:val="clear" w:color="auto" w:fill="auto"/>
            <w:noWrap/>
            <w:vAlign w:val="center"/>
            <w:hideMark/>
          </w:tcPr>
          <w:p w14:paraId="04239A45"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1.352</w:t>
            </w:r>
          </w:p>
        </w:tc>
        <w:tc>
          <w:tcPr>
            <w:tcW w:w="966" w:type="dxa"/>
            <w:tcBorders>
              <w:top w:val="nil"/>
              <w:left w:val="nil"/>
              <w:bottom w:val="single" w:sz="8" w:space="0" w:color="auto"/>
              <w:right w:val="single" w:sz="8" w:space="0" w:color="auto"/>
            </w:tcBorders>
            <w:shd w:val="clear" w:color="auto" w:fill="auto"/>
            <w:noWrap/>
            <w:vAlign w:val="center"/>
            <w:hideMark/>
          </w:tcPr>
          <w:p w14:paraId="64E1EC22"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2,54%</w:t>
            </w:r>
          </w:p>
        </w:tc>
        <w:tc>
          <w:tcPr>
            <w:tcW w:w="1746" w:type="dxa"/>
            <w:tcBorders>
              <w:top w:val="nil"/>
              <w:left w:val="nil"/>
              <w:bottom w:val="single" w:sz="8" w:space="0" w:color="auto"/>
              <w:right w:val="single" w:sz="8" w:space="0" w:color="auto"/>
            </w:tcBorders>
            <w:shd w:val="clear" w:color="auto" w:fill="auto"/>
            <w:noWrap/>
            <w:vAlign w:val="center"/>
            <w:hideMark/>
          </w:tcPr>
          <w:p w14:paraId="4A2CAE7D"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542.356.091,31</w:t>
            </w:r>
          </w:p>
        </w:tc>
        <w:tc>
          <w:tcPr>
            <w:tcW w:w="966" w:type="dxa"/>
            <w:tcBorders>
              <w:top w:val="nil"/>
              <w:left w:val="nil"/>
              <w:bottom w:val="single" w:sz="8" w:space="0" w:color="auto"/>
              <w:right w:val="single" w:sz="8" w:space="0" w:color="auto"/>
            </w:tcBorders>
            <w:shd w:val="clear" w:color="auto" w:fill="auto"/>
            <w:noWrap/>
            <w:vAlign w:val="center"/>
            <w:hideMark/>
          </w:tcPr>
          <w:p w14:paraId="2F2EDEF5"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2,54%</w:t>
            </w:r>
          </w:p>
        </w:tc>
        <w:tc>
          <w:tcPr>
            <w:tcW w:w="1183" w:type="dxa"/>
            <w:tcBorders>
              <w:top w:val="nil"/>
              <w:left w:val="nil"/>
              <w:bottom w:val="single" w:sz="8" w:space="0" w:color="auto"/>
              <w:right w:val="single" w:sz="8" w:space="0" w:color="auto"/>
            </w:tcBorders>
            <w:shd w:val="clear" w:color="auto" w:fill="auto"/>
            <w:vAlign w:val="center"/>
            <w:hideMark/>
          </w:tcPr>
          <w:p w14:paraId="342C25E9"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1.413</w:t>
            </w:r>
          </w:p>
        </w:tc>
        <w:tc>
          <w:tcPr>
            <w:tcW w:w="966" w:type="dxa"/>
            <w:tcBorders>
              <w:top w:val="nil"/>
              <w:left w:val="nil"/>
              <w:bottom w:val="single" w:sz="8" w:space="0" w:color="auto"/>
              <w:right w:val="single" w:sz="8" w:space="0" w:color="auto"/>
            </w:tcBorders>
            <w:shd w:val="clear" w:color="auto" w:fill="auto"/>
            <w:vAlign w:val="center"/>
            <w:hideMark/>
          </w:tcPr>
          <w:p w14:paraId="1CB72B5F"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2,05%</w:t>
            </w:r>
          </w:p>
        </w:tc>
        <w:tc>
          <w:tcPr>
            <w:tcW w:w="1716" w:type="dxa"/>
            <w:tcBorders>
              <w:top w:val="nil"/>
              <w:left w:val="nil"/>
              <w:bottom w:val="single" w:sz="8" w:space="0" w:color="auto"/>
              <w:right w:val="single" w:sz="8" w:space="0" w:color="auto"/>
            </w:tcBorders>
            <w:shd w:val="clear" w:color="auto" w:fill="auto"/>
            <w:vAlign w:val="center"/>
            <w:hideMark/>
          </w:tcPr>
          <w:p w14:paraId="3A07992E"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533.903.754,84</w:t>
            </w:r>
          </w:p>
        </w:tc>
        <w:tc>
          <w:tcPr>
            <w:tcW w:w="966" w:type="dxa"/>
            <w:tcBorders>
              <w:top w:val="nil"/>
              <w:left w:val="nil"/>
              <w:bottom w:val="single" w:sz="8" w:space="0" w:color="auto"/>
              <w:right w:val="single" w:sz="8" w:space="0" w:color="auto"/>
            </w:tcBorders>
            <w:shd w:val="clear" w:color="auto" w:fill="auto"/>
            <w:vAlign w:val="center"/>
            <w:hideMark/>
          </w:tcPr>
          <w:p w14:paraId="508C3FFE"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2,13%</w:t>
            </w:r>
          </w:p>
        </w:tc>
      </w:tr>
      <w:tr w:rsidR="008935FE" w:rsidRPr="001C77A9" w14:paraId="60E265EC" w14:textId="77777777" w:rsidTr="008935FE">
        <w:trPr>
          <w:trHeight w:val="164"/>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14:paraId="571A4A1E" w14:textId="77777777" w:rsidR="008935FE" w:rsidRPr="001C77A9" w:rsidRDefault="008935FE" w:rsidP="008935FE">
            <w:pPr>
              <w:spacing w:after="0" w:line="240" w:lineRule="auto"/>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kupnja strane gotovine</w:t>
            </w:r>
          </w:p>
        </w:tc>
        <w:tc>
          <w:tcPr>
            <w:tcW w:w="1183" w:type="dxa"/>
            <w:tcBorders>
              <w:top w:val="nil"/>
              <w:left w:val="nil"/>
              <w:bottom w:val="single" w:sz="8" w:space="0" w:color="auto"/>
              <w:right w:val="single" w:sz="8" w:space="0" w:color="auto"/>
            </w:tcBorders>
            <w:shd w:val="clear" w:color="auto" w:fill="auto"/>
            <w:noWrap/>
            <w:vAlign w:val="center"/>
            <w:hideMark/>
          </w:tcPr>
          <w:p w14:paraId="269A406F"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1.382</w:t>
            </w:r>
          </w:p>
        </w:tc>
        <w:tc>
          <w:tcPr>
            <w:tcW w:w="966" w:type="dxa"/>
            <w:tcBorders>
              <w:top w:val="nil"/>
              <w:left w:val="nil"/>
              <w:bottom w:val="single" w:sz="8" w:space="0" w:color="auto"/>
              <w:right w:val="single" w:sz="8" w:space="0" w:color="auto"/>
            </w:tcBorders>
            <w:shd w:val="clear" w:color="auto" w:fill="auto"/>
            <w:noWrap/>
            <w:vAlign w:val="center"/>
            <w:hideMark/>
          </w:tcPr>
          <w:p w14:paraId="06A6AC82"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2,47%</w:t>
            </w:r>
          </w:p>
        </w:tc>
        <w:tc>
          <w:tcPr>
            <w:tcW w:w="1746" w:type="dxa"/>
            <w:tcBorders>
              <w:top w:val="nil"/>
              <w:left w:val="nil"/>
              <w:bottom w:val="single" w:sz="8" w:space="0" w:color="auto"/>
              <w:right w:val="single" w:sz="8" w:space="0" w:color="auto"/>
            </w:tcBorders>
            <w:shd w:val="clear" w:color="auto" w:fill="auto"/>
            <w:noWrap/>
            <w:vAlign w:val="center"/>
            <w:hideMark/>
          </w:tcPr>
          <w:p w14:paraId="4334A3F5"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528.076.605,12</w:t>
            </w:r>
          </w:p>
        </w:tc>
        <w:tc>
          <w:tcPr>
            <w:tcW w:w="966" w:type="dxa"/>
            <w:tcBorders>
              <w:top w:val="nil"/>
              <w:left w:val="nil"/>
              <w:bottom w:val="single" w:sz="8" w:space="0" w:color="auto"/>
              <w:right w:val="single" w:sz="8" w:space="0" w:color="auto"/>
            </w:tcBorders>
            <w:shd w:val="clear" w:color="auto" w:fill="auto"/>
            <w:noWrap/>
            <w:vAlign w:val="center"/>
            <w:hideMark/>
          </w:tcPr>
          <w:p w14:paraId="5582D8B3"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2,47%</w:t>
            </w:r>
          </w:p>
        </w:tc>
        <w:tc>
          <w:tcPr>
            <w:tcW w:w="1183" w:type="dxa"/>
            <w:tcBorders>
              <w:top w:val="nil"/>
              <w:left w:val="nil"/>
              <w:bottom w:val="single" w:sz="8" w:space="0" w:color="auto"/>
              <w:right w:val="single" w:sz="8" w:space="0" w:color="auto"/>
            </w:tcBorders>
            <w:shd w:val="clear" w:color="auto" w:fill="auto"/>
            <w:vAlign w:val="center"/>
            <w:hideMark/>
          </w:tcPr>
          <w:p w14:paraId="17C03E0C"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1.378</w:t>
            </w:r>
          </w:p>
        </w:tc>
        <w:tc>
          <w:tcPr>
            <w:tcW w:w="966" w:type="dxa"/>
            <w:tcBorders>
              <w:top w:val="nil"/>
              <w:left w:val="nil"/>
              <w:bottom w:val="single" w:sz="8" w:space="0" w:color="auto"/>
              <w:right w:val="single" w:sz="8" w:space="0" w:color="auto"/>
            </w:tcBorders>
            <w:shd w:val="clear" w:color="auto" w:fill="auto"/>
            <w:vAlign w:val="center"/>
            <w:hideMark/>
          </w:tcPr>
          <w:p w14:paraId="4518FEDE"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2,00%</w:t>
            </w:r>
          </w:p>
        </w:tc>
        <w:tc>
          <w:tcPr>
            <w:tcW w:w="1716" w:type="dxa"/>
            <w:tcBorders>
              <w:top w:val="nil"/>
              <w:left w:val="nil"/>
              <w:bottom w:val="single" w:sz="8" w:space="0" w:color="auto"/>
              <w:right w:val="single" w:sz="8" w:space="0" w:color="auto"/>
            </w:tcBorders>
            <w:shd w:val="clear" w:color="auto" w:fill="auto"/>
            <w:vAlign w:val="center"/>
            <w:hideMark/>
          </w:tcPr>
          <w:p w14:paraId="6AF66070"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512.102.311,80</w:t>
            </w:r>
          </w:p>
        </w:tc>
        <w:tc>
          <w:tcPr>
            <w:tcW w:w="966" w:type="dxa"/>
            <w:tcBorders>
              <w:top w:val="nil"/>
              <w:left w:val="nil"/>
              <w:bottom w:val="single" w:sz="8" w:space="0" w:color="auto"/>
              <w:right w:val="single" w:sz="8" w:space="0" w:color="auto"/>
            </w:tcBorders>
            <w:shd w:val="clear" w:color="auto" w:fill="auto"/>
            <w:vAlign w:val="center"/>
            <w:hideMark/>
          </w:tcPr>
          <w:p w14:paraId="08DEA812"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2,04%</w:t>
            </w:r>
          </w:p>
        </w:tc>
      </w:tr>
      <w:tr w:rsidR="008935FE" w:rsidRPr="001C77A9" w14:paraId="2CA6A9D1" w14:textId="77777777" w:rsidTr="008935FE">
        <w:trPr>
          <w:trHeight w:val="164"/>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14:paraId="686CEF17" w14:textId="77777777" w:rsidR="008935FE" w:rsidRPr="001C77A9" w:rsidRDefault="008935FE" w:rsidP="008935FE">
            <w:pPr>
              <w:spacing w:after="0" w:line="240" w:lineRule="auto"/>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pokretnine</w:t>
            </w:r>
          </w:p>
        </w:tc>
        <w:tc>
          <w:tcPr>
            <w:tcW w:w="1183" w:type="dxa"/>
            <w:tcBorders>
              <w:top w:val="nil"/>
              <w:left w:val="nil"/>
              <w:bottom w:val="single" w:sz="8" w:space="0" w:color="auto"/>
              <w:right w:val="single" w:sz="8" w:space="0" w:color="auto"/>
            </w:tcBorders>
            <w:shd w:val="clear" w:color="auto" w:fill="auto"/>
            <w:noWrap/>
            <w:vAlign w:val="center"/>
            <w:hideMark/>
          </w:tcPr>
          <w:p w14:paraId="361D35D3"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w:t>
            </w:r>
          </w:p>
        </w:tc>
        <w:tc>
          <w:tcPr>
            <w:tcW w:w="966" w:type="dxa"/>
            <w:tcBorders>
              <w:top w:val="nil"/>
              <w:left w:val="nil"/>
              <w:bottom w:val="single" w:sz="8" w:space="0" w:color="auto"/>
              <w:right w:val="single" w:sz="8" w:space="0" w:color="auto"/>
            </w:tcBorders>
            <w:shd w:val="clear" w:color="auto" w:fill="auto"/>
            <w:noWrap/>
            <w:vAlign w:val="center"/>
            <w:hideMark/>
          </w:tcPr>
          <w:p w14:paraId="19A6ABC8"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w:t>
            </w:r>
          </w:p>
        </w:tc>
        <w:tc>
          <w:tcPr>
            <w:tcW w:w="1746" w:type="dxa"/>
            <w:tcBorders>
              <w:top w:val="nil"/>
              <w:left w:val="nil"/>
              <w:bottom w:val="single" w:sz="8" w:space="0" w:color="auto"/>
              <w:right w:val="single" w:sz="8" w:space="0" w:color="auto"/>
            </w:tcBorders>
            <w:shd w:val="clear" w:color="auto" w:fill="auto"/>
            <w:noWrap/>
            <w:vAlign w:val="center"/>
            <w:hideMark/>
          </w:tcPr>
          <w:p w14:paraId="2A18E01D"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w:t>
            </w:r>
          </w:p>
        </w:tc>
        <w:tc>
          <w:tcPr>
            <w:tcW w:w="966" w:type="dxa"/>
            <w:tcBorders>
              <w:top w:val="nil"/>
              <w:left w:val="nil"/>
              <w:bottom w:val="single" w:sz="8" w:space="0" w:color="auto"/>
              <w:right w:val="single" w:sz="8" w:space="0" w:color="auto"/>
            </w:tcBorders>
            <w:shd w:val="clear" w:color="auto" w:fill="auto"/>
            <w:noWrap/>
            <w:vAlign w:val="center"/>
            <w:hideMark/>
          </w:tcPr>
          <w:p w14:paraId="175A84D1"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w:t>
            </w:r>
          </w:p>
        </w:tc>
        <w:tc>
          <w:tcPr>
            <w:tcW w:w="1183" w:type="dxa"/>
            <w:tcBorders>
              <w:top w:val="nil"/>
              <w:left w:val="nil"/>
              <w:bottom w:val="single" w:sz="8" w:space="0" w:color="auto"/>
              <w:right w:val="single" w:sz="8" w:space="0" w:color="auto"/>
            </w:tcBorders>
            <w:shd w:val="clear" w:color="auto" w:fill="auto"/>
            <w:vAlign w:val="center"/>
            <w:hideMark/>
          </w:tcPr>
          <w:p w14:paraId="06A5F5F5"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1.305</w:t>
            </w:r>
          </w:p>
        </w:tc>
        <w:tc>
          <w:tcPr>
            <w:tcW w:w="966" w:type="dxa"/>
            <w:tcBorders>
              <w:top w:val="nil"/>
              <w:left w:val="nil"/>
              <w:bottom w:val="single" w:sz="8" w:space="0" w:color="auto"/>
              <w:right w:val="single" w:sz="8" w:space="0" w:color="auto"/>
            </w:tcBorders>
            <w:shd w:val="clear" w:color="auto" w:fill="auto"/>
            <w:vAlign w:val="center"/>
            <w:hideMark/>
          </w:tcPr>
          <w:p w14:paraId="27D97C0A"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1,90%</w:t>
            </w:r>
          </w:p>
        </w:tc>
        <w:tc>
          <w:tcPr>
            <w:tcW w:w="1716" w:type="dxa"/>
            <w:tcBorders>
              <w:top w:val="nil"/>
              <w:left w:val="nil"/>
              <w:bottom w:val="single" w:sz="8" w:space="0" w:color="auto"/>
              <w:right w:val="single" w:sz="8" w:space="0" w:color="auto"/>
            </w:tcBorders>
            <w:shd w:val="clear" w:color="auto" w:fill="auto"/>
            <w:vAlign w:val="center"/>
            <w:hideMark/>
          </w:tcPr>
          <w:p w14:paraId="5D7862C6"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358.732.902,23</w:t>
            </w:r>
          </w:p>
        </w:tc>
        <w:tc>
          <w:tcPr>
            <w:tcW w:w="966" w:type="dxa"/>
            <w:tcBorders>
              <w:top w:val="nil"/>
              <w:left w:val="nil"/>
              <w:bottom w:val="single" w:sz="8" w:space="0" w:color="auto"/>
              <w:right w:val="single" w:sz="8" w:space="0" w:color="auto"/>
            </w:tcBorders>
            <w:shd w:val="clear" w:color="auto" w:fill="auto"/>
            <w:vAlign w:val="center"/>
            <w:hideMark/>
          </w:tcPr>
          <w:p w14:paraId="6E722948"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1,43%</w:t>
            </w:r>
          </w:p>
        </w:tc>
      </w:tr>
      <w:tr w:rsidR="008935FE" w:rsidRPr="001C77A9" w14:paraId="1DBA751D" w14:textId="77777777" w:rsidTr="008935FE">
        <w:trPr>
          <w:trHeight w:val="164"/>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14:paraId="10CD77BE" w14:textId="77777777" w:rsidR="008935FE" w:rsidRPr="001C77A9" w:rsidRDefault="008935FE" w:rsidP="008935FE">
            <w:pPr>
              <w:spacing w:after="0" w:line="240" w:lineRule="auto"/>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usluga</w:t>
            </w:r>
          </w:p>
        </w:tc>
        <w:tc>
          <w:tcPr>
            <w:tcW w:w="1183" w:type="dxa"/>
            <w:tcBorders>
              <w:top w:val="nil"/>
              <w:left w:val="nil"/>
              <w:bottom w:val="single" w:sz="8" w:space="0" w:color="auto"/>
              <w:right w:val="single" w:sz="8" w:space="0" w:color="auto"/>
            </w:tcBorders>
            <w:shd w:val="clear" w:color="auto" w:fill="auto"/>
            <w:noWrap/>
            <w:vAlign w:val="center"/>
            <w:hideMark/>
          </w:tcPr>
          <w:p w14:paraId="35776C12"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1.018</w:t>
            </w:r>
          </w:p>
        </w:tc>
        <w:tc>
          <w:tcPr>
            <w:tcW w:w="966" w:type="dxa"/>
            <w:tcBorders>
              <w:top w:val="nil"/>
              <w:left w:val="nil"/>
              <w:bottom w:val="single" w:sz="8" w:space="0" w:color="auto"/>
              <w:right w:val="single" w:sz="8" w:space="0" w:color="auto"/>
            </w:tcBorders>
            <w:shd w:val="clear" w:color="auto" w:fill="auto"/>
            <w:noWrap/>
            <w:vAlign w:val="center"/>
            <w:hideMark/>
          </w:tcPr>
          <w:p w14:paraId="4179C348"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1,56%</w:t>
            </w:r>
          </w:p>
        </w:tc>
        <w:tc>
          <w:tcPr>
            <w:tcW w:w="1746" w:type="dxa"/>
            <w:tcBorders>
              <w:top w:val="nil"/>
              <w:left w:val="nil"/>
              <w:bottom w:val="single" w:sz="8" w:space="0" w:color="auto"/>
              <w:right w:val="single" w:sz="8" w:space="0" w:color="auto"/>
            </w:tcBorders>
            <w:shd w:val="clear" w:color="auto" w:fill="auto"/>
            <w:noWrap/>
            <w:vAlign w:val="center"/>
            <w:hideMark/>
          </w:tcPr>
          <w:p w14:paraId="77458BB4"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334.420.969,62</w:t>
            </w:r>
          </w:p>
        </w:tc>
        <w:tc>
          <w:tcPr>
            <w:tcW w:w="966" w:type="dxa"/>
            <w:tcBorders>
              <w:top w:val="nil"/>
              <w:left w:val="nil"/>
              <w:bottom w:val="single" w:sz="8" w:space="0" w:color="auto"/>
              <w:right w:val="single" w:sz="8" w:space="0" w:color="auto"/>
            </w:tcBorders>
            <w:shd w:val="clear" w:color="auto" w:fill="auto"/>
            <w:noWrap/>
            <w:vAlign w:val="center"/>
            <w:hideMark/>
          </w:tcPr>
          <w:p w14:paraId="420D5D78"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1,56%</w:t>
            </w:r>
          </w:p>
        </w:tc>
        <w:tc>
          <w:tcPr>
            <w:tcW w:w="1183" w:type="dxa"/>
            <w:tcBorders>
              <w:top w:val="nil"/>
              <w:left w:val="nil"/>
              <w:bottom w:val="single" w:sz="8" w:space="0" w:color="auto"/>
              <w:right w:val="single" w:sz="8" w:space="0" w:color="auto"/>
            </w:tcBorders>
            <w:shd w:val="clear" w:color="auto" w:fill="auto"/>
            <w:vAlign w:val="center"/>
            <w:hideMark/>
          </w:tcPr>
          <w:p w14:paraId="15C79FC9"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1.273</w:t>
            </w:r>
          </w:p>
        </w:tc>
        <w:tc>
          <w:tcPr>
            <w:tcW w:w="966" w:type="dxa"/>
            <w:tcBorders>
              <w:top w:val="nil"/>
              <w:left w:val="nil"/>
              <w:bottom w:val="single" w:sz="8" w:space="0" w:color="auto"/>
              <w:right w:val="single" w:sz="8" w:space="0" w:color="auto"/>
            </w:tcBorders>
            <w:shd w:val="clear" w:color="auto" w:fill="auto"/>
            <w:vAlign w:val="center"/>
            <w:hideMark/>
          </w:tcPr>
          <w:p w14:paraId="264997AC"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1,85%</w:t>
            </w:r>
          </w:p>
        </w:tc>
        <w:tc>
          <w:tcPr>
            <w:tcW w:w="1716" w:type="dxa"/>
            <w:tcBorders>
              <w:top w:val="nil"/>
              <w:left w:val="nil"/>
              <w:bottom w:val="single" w:sz="8" w:space="0" w:color="auto"/>
              <w:right w:val="single" w:sz="8" w:space="0" w:color="auto"/>
            </w:tcBorders>
            <w:shd w:val="clear" w:color="auto" w:fill="auto"/>
            <w:vAlign w:val="center"/>
            <w:hideMark/>
          </w:tcPr>
          <w:p w14:paraId="704C570E"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443.063.870,73</w:t>
            </w:r>
          </w:p>
        </w:tc>
        <w:tc>
          <w:tcPr>
            <w:tcW w:w="966" w:type="dxa"/>
            <w:tcBorders>
              <w:top w:val="nil"/>
              <w:left w:val="nil"/>
              <w:bottom w:val="single" w:sz="8" w:space="0" w:color="auto"/>
              <w:right w:val="single" w:sz="8" w:space="0" w:color="auto"/>
            </w:tcBorders>
            <w:shd w:val="clear" w:color="auto" w:fill="auto"/>
            <w:vAlign w:val="center"/>
            <w:hideMark/>
          </w:tcPr>
          <w:p w14:paraId="3BB4AF6B"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1,77%</w:t>
            </w:r>
          </w:p>
        </w:tc>
      </w:tr>
      <w:tr w:rsidR="008935FE" w:rsidRPr="001C77A9" w14:paraId="50516C4E" w14:textId="77777777" w:rsidTr="008935FE">
        <w:trPr>
          <w:trHeight w:val="164"/>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14:paraId="152B99D4" w14:textId="77777777" w:rsidR="008935FE" w:rsidRPr="001C77A9" w:rsidRDefault="008935FE" w:rsidP="008935FE">
            <w:pPr>
              <w:spacing w:after="0" w:line="240" w:lineRule="auto"/>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nasljedstvo</w:t>
            </w:r>
          </w:p>
        </w:tc>
        <w:tc>
          <w:tcPr>
            <w:tcW w:w="1183" w:type="dxa"/>
            <w:tcBorders>
              <w:top w:val="nil"/>
              <w:left w:val="nil"/>
              <w:bottom w:val="single" w:sz="8" w:space="0" w:color="auto"/>
              <w:right w:val="single" w:sz="8" w:space="0" w:color="auto"/>
            </w:tcBorders>
            <w:shd w:val="clear" w:color="auto" w:fill="auto"/>
            <w:noWrap/>
            <w:vAlign w:val="center"/>
            <w:hideMark/>
          </w:tcPr>
          <w:p w14:paraId="44B907A6"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w:t>
            </w:r>
          </w:p>
        </w:tc>
        <w:tc>
          <w:tcPr>
            <w:tcW w:w="966" w:type="dxa"/>
            <w:tcBorders>
              <w:top w:val="nil"/>
              <w:left w:val="nil"/>
              <w:bottom w:val="single" w:sz="8" w:space="0" w:color="auto"/>
              <w:right w:val="single" w:sz="8" w:space="0" w:color="auto"/>
            </w:tcBorders>
            <w:shd w:val="clear" w:color="auto" w:fill="auto"/>
            <w:noWrap/>
            <w:vAlign w:val="center"/>
            <w:hideMark/>
          </w:tcPr>
          <w:p w14:paraId="09673689"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w:t>
            </w:r>
          </w:p>
        </w:tc>
        <w:tc>
          <w:tcPr>
            <w:tcW w:w="1746" w:type="dxa"/>
            <w:tcBorders>
              <w:top w:val="nil"/>
              <w:left w:val="nil"/>
              <w:bottom w:val="single" w:sz="8" w:space="0" w:color="auto"/>
              <w:right w:val="single" w:sz="8" w:space="0" w:color="auto"/>
            </w:tcBorders>
            <w:shd w:val="clear" w:color="auto" w:fill="auto"/>
            <w:noWrap/>
            <w:vAlign w:val="center"/>
            <w:hideMark/>
          </w:tcPr>
          <w:p w14:paraId="57A3E755"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w:t>
            </w:r>
          </w:p>
        </w:tc>
        <w:tc>
          <w:tcPr>
            <w:tcW w:w="966" w:type="dxa"/>
            <w:tcBorders>
              <w:top w:val="nil"/>
              <w:left w:val="nil"/>
              <w:bottom w:val="single" w:sz="8" w:space="0" w:color="auto"/>
              <w:right w:val="single" w:sz="8" w:space="0" w:color="auto"/>
            </w:tcBorders>
            <w:shd w:val="clear" w:color="auto" w:fill="auto"/>
            <w:noWrap/>
            <w:vAlign w:val="center"/>
            <w:hideMark/>
          </w:tcPr>
          <w:p w14:paraId="45EE7F3F"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w:t>
            </w:r>
          </w:p>
        </w:tc>
        <w:tc>
          <w:tcPr>
            <w:tcW w:w="1183" w:type="dxa"/>
            <w:tcBorders>
              <w:top w:val="nil"/>
              <w:left w:val="nil"/>
              <w:bottom w:val="single" w:sz="8" w:space="0" w:color="auto"/>
              <w:right w:val="single" w:sz="8" w:space="0" w:color="auto"/>
            </w:tcBorders>
            <w:shd w:val="clear" w:color="auto" w:fill="auto"/>
            <w:vAlign w:val="center"/>
            <w:hideMark/>
          </w:tcPr>
          <w:p w14:paraId="699465C8"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893</w:t>
            </w:r>
          </w:p>
        </w:tc>
        <w:tc>
          <w:tcPr>
            <w:tcW w:w="966" w:type="dxa"/>
            <w:tcBorders>
              <w:top w:val="nil"/>
              <w:left w:val="nil"/>
              <w:bottom w:val="single" w:sz="8" w:space="0" w:color="auto"/>
              <w:right w:val="single" w:sz="8" w:space="0" w:color="auto"/>
            </w:tcBorders>
            <w:shd w:val="clear" w:color="auto" w:fill="auto"/>
            <w:vAlign w:val="center"/>
            <w:hideMark/>
          </w:tcPr>
          <w:p w14:paraId="7D1197F3"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1,30%</w:t>
            </w:r>
          </w:p>
        </w:tc>
        <w:tc>
          <w:tcPr>
            <w:tcW w:w="1716" w:type="dxa"/>
            <w:tcBorders>
              <w:top w:val="nil"/>
              <w:left w:val="nil"/>
              <w:bottom w:val="single" w:sz="8" w:space="0" w:color="auto"/>
              <w:right w:val="single" w:sz="8" w:space="0" w:color="auto"/>
            </w:tcBorders>
            <w:shd w:val="clear" w:color="auto" w:fill="auto"/>
            <w:vAlign w:val="center"/>
            <w:hideMark/>
          </w:tcPr>
          <w:p w14:paraId="26FF2D81"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234.065.844,45</w:t>
            </w:r>
          </w:p>
        </w:tc>
        <w:tc>
          <w:tcPr>
            <w:tcW w:w="966" w:type="dxa"/>
            <w:tcBorders>
              <w:top w:val="nil"/>
              <w:left w:val="nil"/>
              <w:bottom w:val="single" w:sz="8" w:space="0" w:color="auto"/>
              <w:right w:val="single" w:sz="8" w:space="0" w:color="auto"/>
            </w:tcBorders>
            <w:shd w:val="clear" w:color="auto" w:fill="auto"/>
            <w:vAlign w:val="center"/>
            <w:hideMark/>
          </w:tcPr>
          <w:p w14:paraId="26817AD1"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0,93%</w:t>
            </w:r>
          </w:p>
        </w:tc>
      </w:tr>
      <w:tr w:rsidR="008935FE" w:rsidRPr="001C77A9" w14:paraId="4D02115E" w14:textId="77777777" w:rsidTr="008935FE">
        <w:trPr>
          <w:trHeight w:val="164"/>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14:paraId="5EB4D802" w14:textId="77777777" w:rsidR="008935FE" w:rsidRPr="001C77A9" w:rsidRDefault="008935FE" w:rsidP="008935FE">
            <w:pPr>
              <w:spacing w:after="0" w:line="240" w:lineRule="auto"/>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prodaja strane gotovine</w:t>
            </w:r>
          </w:p>
        </w:tc>
        <w:tc>
          <w:tcPr>
            <w:tcW w:w="1183" w:type="dxa"/>
            <w:tcBorders>
              <w:top w:val="nil"/>
              <w:left w:val="nil"/>
              <w:bottom w:val="single" w:sz="8" w:space="0" w:color="auto"/>
              <w:right w:val="single" w:sz="8" w:space="0" w:color="auto"/>
            </w:tcBorders>
            <w:shd w:val="clear" w:color="auto" w:fill="auto"/>
            <w:noWrap/>
            <w:vAlign w:val="center"/>
            <w:hideMark/>
          </w:tcPr>
          <w:p w14:paraId="5ACF9F3D"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w:t>
            </w:r>
          </w:p>
        </w:tc>
        <w:tc>
          <w:tcPr>
            <w:tcW w:w="966" w:type="dxa"/>
            <w:tcBorders>
              <w:top w:val="nil"/>
              <w:left w:val="nil"/>
              <w:bottom w:val="single" w:sz="8" w:space="0" w:color="auto"/>
              <w:right w:val="single" w:sz="8" w:space="0" w:color="auto"/>
            </w:tcBorders>
            <w:shd w:val="clear" w:color="auto" w:fill="auto"/>
            <w:noWrap/>
            <w:vAlign w:val="center"/>
            <w:hideMark/>
          </w:tcPr>
          <w:p w14:paraId="6A1CD12E"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w:t>
            </w:r>
          </w:p>
        </w:tc>
        <w:tc>
          <w:tcPr>
            <w:tcW w:w="1746" w:type="dxa"/>
            <w:tcBorders>
              <w:top w:val="nil"/>
              <w:left w:val="nil"/>
              <w:bottom w:val="single" w:sz="8" w:space="0" w:color="auto"/>
              <w:right w:val="single" w:sz="8" w:space="0" w:color="auto"/>
            </w:tcBorders>
            <w:shd w:val="clear" w:color="auto" w:fill="auto"/>
            <w:noWrap/>
            <w:vAlign w:val="center"/>
            <w:hideMark/>
          </w:tcPr>
          <w:p w14:paraId="6E91D2BC"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w:t>
            </w:r>
          </w:p>
        </w:tc>
        <w:tc>
          <w:tcPr>
            <w:tcW w:w="966" w:type="dxa"/>
            <w:tcBorders>
              <w:top w:val="nil"/>
              <w:left w:val="nil"/>
              <w:bottom w:val="single" w:sz="8" w:space="0" w:color="auto"/>
              <w:right w:val="single" w:sz="8" w:space="0" w:color="auto"/>
            </w:tcBorders>
            <w:shd w:val="clear" w:color="auto" w:fill="auto"/>
            <w:noWrap/>
            <w:vAlign w:val="center"/>
            <w:hideMark/>
          </w:tcPr>
          <w:p w14:paraId="6B4E6E41"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w:t>
            </w:r>
          </w:p>
        </w:tc>
        <w:tc>
          <w:tcPr>
            <w:tcW w:w="1183" w:type="dxa"/>
            <w:tcBorders>
              <w:top w:val="nil"/>
              <w:left w:val="nil"/>
              <w:bottom w:val="single" w:sz="8" w:space="0" w:color="auto"/>
              <w:right w:val="single" w:sz="8" w:space="0" w:color="auto"/>
            </w:tcBorders>
            <w:shd w:val="clear" w:color="auto" w:fill="auto"/>
            <w:vAlign w:val="center"/>
            <w:hideMark/>
          </w:tcPr>
          <w:p w14:paraId="3AE8AC79"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833</w:t>
            </w:r>
          </w:p>
        </w:tc>
        <w:tc>
          <w:tcPr>
            <w:tcW w:w="966" w:type="dxa"/>
            <w:tcBorders>
              <w:top w:val="nil"/>
              <w:left w:val="nil"/>
              <w:bottom w:val="single" w:sz="8" w:space="0" w:color="auto"/>
              <w:right w:val="single" w:sz="8" w:space="0" w:color="auto"/>
            </w:tcBorders>
            <w:shd w:val="clear" w:color="auto" w:fill="auto"/>
            <w:vAlign w:val="center"/>
            <w:hideMark/>
          </w:tcPr>
          <w:p w14:paraId="0B2D775A"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1,21%</w:t>
            </w:r>
          </w:p>
        </w:tc>
        <w:tc>
          <w:tcPr>
            <w:tcW w:w="1716" w:type="dxa"/>
            <w:tcBorders>
              <w:top w:val="nil"/>
              <w:left w:val="nil"/>
              <w:bottom w:val="single" w:sz="8" w:space="0" w:color="auto"/>
              <w:right w:val="single" w:sz="8" w:space="0" w:color="auto"/>
            </w:tcBorders>
            <w:shd w:val="clear" w:color="auto" w:fill="auto"/>
            <w:vAlign w:val="center"/>
            <w:hideMark/>
          </w:tcPr>
          <w:p w14:paraId="6A485F8E"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288.709.035,29</w:t>
            </w:r>
          </w:p>
        </w:tc>
        <w:tc>
          <w:tcPr>
            <w:tcW w:w="966" w:type="dxa"/>
            <w:tcBorders>
              <w:top w:val="nil"/>
              <w:left w:val="nil"/>
              <w:bottom w:val="single" w:sz="8" w:space="0" w:color="auto"/>
              <w:right w:val="single" w:sz="8" w:space="0" w:color="auto"/>
            </w:tcBorders>
            <w:shd w:val="clear" w:color="auto" w:fill="auto"/>
            <w:vAlign w:val="center"/>
            <w:hideMark/>
          </w:tcPr>
          <w:p w14:paraId="7586BCB3"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1,15%</w:t>
            </w:r>
          </w:p>
        </w:tc>
      </w:tr>
      <w:tr w:rsidR="008935FE" w:rsidRPr="001C77A9" w14:paraId="21CB61DA" w14:textId="77777777" w:rsidTr="008935FE">
        <w:trPr>
          <w:trHeight w:val="164"/>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14:paraId="6361242E" w14:textId="77777777" w:rsidR="008935FE" w:rsidRPr="001C77A9" w:rsidRDefault="008935FE" w:rsidP="008935FE">
            <w:pPr>
              <w:spacing w:after="0" w:line="240" w:lineRule="auto"/>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dobit</w:t>
            </w:r>
          </w:p>
        </w:tc>
        <w:tc>
          <w:tcPr>
            <w:tcW w:w="1183" w:type="dxa"/>
            <w:tcBorders>
              <w:top w:val="nil"/>
              <w:left w:val="nil"/>
              <w:bottom w:val="single" w:sz="8" w:space="0" w:color="auto"/>
              <w:right w:val="single" w:sz="8" w:space="0" w:color="auto"/>
            </w:tcBorders>
            <w:shd w:val="clear" w:color="auto" w:fill="auto"/>
            <w:noWrap/>
            <w:vAlign w:val="center"/>
            <w:hideMark/>
          </w:tcPr>
          <w:p w14:paraId="20B5DB2B"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w:t>
            </w:r>
          </w:p>
        </w:tc>
        <w:tc>
          <w:tcPr>
            <w:tcW w:w="966" w:type="dxa"/>
            <w:tcBorders>
              <w:top w:val="nil"/>
              <w:left w:val="nil"/>
              <w:bottom w:val="single" w:sz="8" w:space="0" w:color="auto"/>
              <w:right w:val="single" w:sz="8" w:space="0" w:color="auto"/>
            </w:tcBorders>
            <w:shd w:val="clear" w:color="auto" w:fill="auto"/>
            <w:noWrap/>
            <w:vAlign w:val="center"/>
            <w:hideMark/>
          </w:tcPr>
          <w:p w14:paraId="7BA5CE05"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w:t>
            </w:r>
          </w:p>
        </w:tc>
        <w:tc>
          <w:tcPr>
            <w:tcW w:w="1746" w:type="dxa"/>
            <w:tcBorders>
              <w:top w:val="nil"/>
              <w:left w:val="nil"/>
              <w:bottom w:val="single" w:sz="8" w:space="0" w:color="auto"/>
              <w:right w:val="single" w:sz="8" w:space="0" w:color="auto"/>
            </w:tcBorders>
            <w:shd w:val="clear" w:color="auto" w:fill="auto"/>
            <w:noWrap/>
            <w:vAlign w:val="center"/>
            <w:hideMark/>
          </w:tcPr>
          <w:p w14:paraId="22DD8802"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w:t>
            </w:r>
          </w:p>
        </w:tc>
        <w:tc>
          <w:tcPr>
            <w:tcW w:w="966" w:type="dxa"/>
            <w:tcBorders>
              <w:top w:val="nil"/>
              <w:left w:val="nil"/>
              <w:bottom w:val="single" w:sz="8" w:space="0" w:color="auto"/>
              <w:right w:val="single" w:sz="8" w:space="0" w:color="auto"/>
            </w:tcBorders>
            <w:shd w:val="clear" w:color="auto" w:fill="auto"/>
            <w:noWrap/>
            <w:vAlign w:val="center"/>
            <w:hideMark/>
          </w:tcPr>
          <w:p w14:paraId="27B787AD"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w:t>
            </w:r>
          </w:p>
        </w:tc>
        <w:tc>
          <w:tcPr>
            <w:tcW w:w="1183" w:type="dxa"/>
            <w:tcBorders>
              <w:top w:val="nil"/>
              <w:left w:val="nil"/>
              <w:bottom w:val="single" w:sz="8" w:space="0" w:color="auto"/>
              <w:right w:val="single" w:sz="8" w:space="0" w:color="auto"/>
            </w:tcBorders>
            <w:shd w:val="clear" w:color="auto" w:fill="auto"/>
            <w:vAlign w:val="center"/>
            <w:hideMark/>
          </w:tcPr>
          <w:p w14:paraId="46DCAE3F"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714</w:t>
            </w:r>
          </w:p>
        </w:tc>
        <w:tc>
          <w:tcPr>
            <w:tcW w:w="966" w:type="dxa"/>
            <w:tcBorders>
              <w:top w:val="nil"/>
              <w:left w:val="nil"/>
              <w:bottom w:val="single" w:sz="8" w:space="0" w:color="auto"/>
              <w:right w:val="single" w:sz="8" w:space="0" w:color="auto"/>
            </w:tcBorders>
            <w:shd w:val="clear" w:color="auto" w:fill="auto"/>
            <w:vAlign w:val="center"/>
            <w:hideMark/>
          </w:tcPr>
          <w:p w14:paraId="1B157BC8"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1,04%</w:t>
            </w:r>
          </w:p>
        </w:tc>
        <w:tc>
          <w:tcPr>
            <w:tcW w:w="1716" w:type="dxa"/>
            <w:tcBorders>
              <w:top w:val="nil"/>
              <w:left w:val="nil"/>
              <w:bottom w:val="single" w:sz="8" w:space="0" w:color="auto"/>
              <w:right w:val="single" w:sz="8" w:space="0" w:color="auto"/>
            </w:tcBorders>
            <w:shd w:val="clear" w:color="auto" w:fill="auto"/>
            <w:vAlign w:val="center"/>
            <w:hideMark/>
          </w:tcPr>
          <w:p w14:paraId="223A79C8"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287.100.521,94</w:t>
            </w:r>
          </w:p>
        </w:tc>
        <w:tc>
          <w:tcPr>
            <w:tcW w:w="966" w:type="dxa"/>
            <w:tcBorders>
              <w:top w:val="nil"/>
              <w:left w:val="nil"/>
              <w:bottom w:val="single" w:sz="8" w:space="0" w:color="auto"/>
              <w:right w:val="single" w:sz="8" w:space="0" w:color="auto"/>
            </w:tcBorders>
            <w:shd w:val="clear" w:color="auto" w:fill="auto"/>
            <w:vAlign w:val="center"/>
            <w:hideMark/>
          </w:tcPr>
          <w:p w14:paraId="385EA421"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1,15%</w:t>
            </w:r>
          </w:p>
        </w:tc>
      </w:tr>
      <w:tr w:rsidR="008935FE" w:rsidRPr="001C77A9" w14:paraId="2A5F39FD" w14:textId="77777777" w:rsidTr="008935FE">
        <w:trPr>
          <w:trHeight w:val="164"/>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14:paraId="1275B633" w14:textId="77777777" w:rsidR="008935FE" w:rsidRPr="001C77A9" w:rsidRDefault="008935FE" w:rsidP="008935FE">
            <w:pPr>
              <w:spacing w:after="0" w:line="240" w:lineRule="auto"/>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 xml:space="preserve">ostale svrhe </w:t>
            </w:r>
          </w:p>
        </w:tc>
        <w:tc>
          <w:tcPr>
            <w:tcW w:w="1183" w:type="dxa"/>
            <w:tcBorders>
              <w:top w:val="nil"/>
              <w:left w:val="nil"/>
              <w:bottom w:val="single" w:sz="8" w:space="0" w:color="auto"/>
              <w:right w:val="single" w:sz="8" w:space="0" w:color="auto"/>
            </w:tcBorders>
            <w:shd w:val="clear" w:color="auto" w:fill="auto"/>
            <w:noWrap/>
            <w:vAlign w:val="center"/>
            <w:hideMark/>
          </w:tcPr>
          <w:p w14:paraId="48DB7960"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4.621</w:t>
            </w:r>
          </w:p>
        </w:tc>
        <w:tc>
          <w:tcPr>
            <w:tcW w:w="966" w:type="dxa"/>
            <w:tcBorders>
              <w:top w:val="nil"/>
              <w:left w:val="nil"/>
              <w:bottom w:val="single" w:sz="8" w:space="0" w:color="auto"/>
              <w:right w:val="single" w:sz="8" w:space="0" w:color="auto"/>
            </w:tcBorders>
            <w:shd w:val="clear" w:color="000000" w:fill="F2F2F2"/>
            <w:vAlign w:val="center"/>
            <w:hideMark/>
          </w:tcPr>
          <w:p w14:paraId="26CC3038" w14:textId="77777777" w:rsidR="008935FE" w:rsidRPr="001C77A9" w:rsidRDefault="008935FE" w:rsidP="008935FE">
            <w:pPr>
              <w:spacing w:after="0" w:line="240" w:lineRule="auto"/>
              <w:jc w:val="center"/>
              <w:rPr>
                <w:rFonts w:ascii="Calibri" w:eastAsia="Times New Roman" w:hAnsi="Calibri" w:cs="Calibri"/>
                <w:color w:val="000000"/>
                <w:sz w:val="18"/>
                <w:szCs w:val="18"/>
                <w:lang w:eastAsia="hr-HR"/>
              </w:rPr>
            </w:pPr>
            <w:r w:rsidRPr="001C77A9">
              <w:rPr>
                <w:rFonts w:ascii="Calibri" w:eastAsia="Times New Roman" w:hAnsi="Calibri" w:cs="Calibri"/>
                <w:color w:val="000000"/>
                <w:sz w:val="18"/>
                <w:szCs w:val="18"/>
                <w:lang w:eastAsia="hr-HR"/>
              </w:rPr>
              <w:t>9,40%</w:t>
            </w:r>
          </w:p>
        </w:tc>
        <w:tc>
          <w:tcPr>
            <w:tcW w:w="1746" w:type="dxa"/>
            <w:tcBorders>
              <w:top w:val="nil"/>
              <w:left w:val="nil"/>
              <w:bottom w:val="single" w:sz="8" w:space="0" w:color="auto"/>
              <w:right w:val="single" w:sz="8" w:space="0" w:color="auto"/>
            </w:tcBorders>
            <w:shd w:val="clear" w:color="000000" w:fill="F2F2F2"/>
            <w:vAlign w:val="center"/>
            <w:hideMark/>
          </w:tcPr>
          <w:p w14:paraId="02628DBE" w14:textId="77777777" w:rsidR="008935FE" w:rsidRPr="001C77A9" w:rsidRDefault="008935FE" w:rsidP="008935FE">
            <w:pPr>
              <w:spacing w:after="0" w:line="240" w:lineRule="auto"/>
              <w:jc w:val="right"/>
              <w:rPr>
                <w:rFonts w:ascii="Calibri" w:eastAsia="Times New Roman" w:hAnsi="Calibri" w:cs="Calibri"/>
                <w:b/>
                <w:bCs/>
                <w:color w:val="000000"/>
                <w:sz w:val="20"/>
                <w:szCs w:val="20"/>
                <w:lang w:eastAsia="hr-HR"/>
              </w:rPr>
            </w:pPr>
            <w:r w:rsidRPr="001C77A9">
              <w:rPr>
                <w:rFonts w:ascii="Calibri" w:eastAsia="Times New Roman" w:hAnsi="Calibri" w:cs="Calibri"/>
                <w:b/>
                <w:bCs/>
                <w:color w:val="000000"/>
                <w:sz w:val="20"/>
                <w:szCs w:val="20"/>
                <w:lang w:eastAsia="hr-HR"/>
              </w:rPr>
              <w:t>1.837.887.595,38</w:t>
            </w:r>
          </w:p>
        </w:tc>
        <w:tc>
          <w:tcPr>
            <w:tcW w:w="966" w:type="dxa"/>
            <w:tcBorders>
              <w:top w:val="nil"/>
              <w:left w:val="nil"/>
              <w:bottom w:val="single" w:sz="8" w:space="0" w:color="auto"/>
              <w:right w:val="single" w:sz="8" w:space="0" w:color="auto"/>
            </w:tcBorders>
            <w:shd w:val="clear" w:color="000000" w:fill="F2F2F2"/>
            <w:vAlign w:val="center"/>
            <w:hideMark/>
          </w:tcPr>
          <w:p w14:paraId="19E46ABF" w14:textId="77777777" w:rsidR="008935FE" w:rsidRPr="001C77A9" w:rsidRDefault="008935FE" w:rsidP="008935FE">
            <w:pPr>
              <w:spacing w:after="0" w:line="240" w:lineRule="auto"/>
              <w:jc w:val="center"/>
              <w:rPr>
                <w:rFonts w:ascii="Calibri" w:eastAsia="Times New Roman" w:hAnsi="Calibri" w:cs="Calibri"/>
                <w:color w:val="000000"/>
                <w:sz w:val="18"/>
                <w:szCs w:val="18"/>
                <w:lang w:eastAsia="hr-HR"/>
              </w:rPr>
            </w:pPr>
            <w:r w:rsidRPr="001C77A9">
              <w:rPr>
                <w:rFonts w:ascii="Calibri" w:eastAsia="Times New Roman" w:hAnsi="Calibri" w:cs="Calibri"/>
                <w:color w:val="000000"/>
                <w:sz w:val="18"/>
                <w:szCs w:val="18"/>
                <w:lang w:eastAsia="hr-HR"/>
              </w:rPr>
              <w:t>8,60%</w:t>
            </w:r>
          </w:p>
        </w:tc>
        <w:tc>
          <w:tcPr>
            <w:tcW w:w="1183" w:type="dxa"/>
            <w:tcBorders>
              <w:top w:val="nil"/>
              <w:left w:val="nil"/>
              <w:bottom w:val="single" w:sz="8" w:space="0" w:color="auto"/>
              <w:right w:val="single" w:sz="8" w:space="0" w:color="auto"/>
            </w:tcBorders>
            <w:shd w:val="clear" w:color="auto" w:fill="auto"/>
            <w:vAlign w:val="center"/>
            <w:hideMark/>
          </w:tcPr>
          <w:p w14:paraId="6ADFE81E" w14:textId="77777777" w:rsidR="008935FE" w:rsidRPr="001C77A9" w:rsidRDefault="008935FE" w:rsidP="008935FE">
            <w:pPr>
              <w:spacing w:after="0" w:line="240" w:lineRule="auto"/>
              <w:jc w:val="center"/>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2384</w:t>
            </w:r>
          </w:p>
        </w:tc>
        <w:tc>
          <w:tcPr>
            <w:tcW w:w="966" w:type="dxa"/>
            <w:tcBorders>
              <w:top w:val="nil"/>
              <w:left w:val="nil"/>
              <w:bottom w:val="single" w:sz="8" w:space="0" w:color="auto"/>
              <w:right w:val="single" w:sz="8" w:space="0" w:color="auto"/>
            </w:tcBorders>
            <w:shd w:val="clear" w:color="auto" w:fill="auto"/>
            <w:vAlign w:val="center"/>
            <w:hideMark/>
          </w:tcPr>
          <w:p w14:paraId="2AD8C9BA"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3,46%</w:t>
            </w:r>
          </w:p>
        </w:tc>
        <w:tc>
          <w:tcPr>
            <w:tcW w:w="1716" w:type="dxa"/>
            <w:tcBorders>
              <w:top w:val="nil"/>
              <w:left w:val="nil"/>
              <w:bottom w:val="single" w:sz="8" w:space="0" w:color="auto"/>
              <w:right w:val="single" w:sz="8" w:space="0" w:color="auto"/>
            </w:tcBorders>
            <w:shd w:val="clear" w:color="auto" w:fill="auto"/>
            <w:vAlign w:val="center"/>
            <w:hideMark/>
          </w:tcPr>
          <w:p w14:paraId="59BF9DBD" w14:textId="77777777" w:rsidR="008935FE" w:rsidRPr="001C77A9" w:rsidRDefault="008935FE" w:rsidP="008935FE">
            <w:pPr>
              <w:spacing w:after="0" w:line="240" w:lineRule="auto"/>
              <w:jc w:val="right"/>
              <w:rPr>
                <w:rFonts w:ascii="Times New Roman" w:eastAsia="Times New Roman" w:hAnsi="Times New Roman" w:cs="Times New Roman"/>
                <w:b/>
                <w:color w:val="000000"/>
                <w:sz w:val="18"/>
                <w:szCs w:val="18"/>
                <w:lang w:eastAsia="hr-HR"/>
              </w:rPr>
            </w:pPr>
            <w:r w:rsidRPr="001C77A9">
              <w:rPr>
                <w:rFonts w:ascii="Times New Roman" w:eastAsia="Times New Roman" w:hAnsi="Times New Roman" w:cs="Times New Roman"/>
                <w:b/>
                <w:color w:val="000000"/>
                <w:sz w:val="18"/>
                <w:szCs w:val="18"/>
                <w:lang w:eastAsia="hr-HR"/>
              </w:rPr>
              <w:t>847.298.960,42</w:t>
            </w:r>
          </w:p>
        </w:tc>
        <w:tc>
          <w:tcPr>
            <w:tcW w:w="966" w:type="dxa"/>
            <w:tcBorders>
              <w:top w:val="nil"/>
              <w:left w:val="nil"/>
              <w:bottom w:val="single" w:sz="8" w:space="0" w:color="auto"/>
              <w:right w:val="single" w:sz="8" w:space="0" w:color="auto"/>
            </w:tcBorders>
            <w:shd w:val="clear" w:color="auto" w:fill="auto"/>
            <w:vAlign w:val="center"/>
            <w:hideMark/>
          </w:tcPr>
          <w:p w14:paraId="27134C34" w14:textId="77777777" w:rsidR="008935FE" w:rsidRPr="001C77A9" w:rsidRDefault="008935FE" w:rsidP="008935FE">
            <w:pPr>
              <w:spacing w:after="0" w:line="240" w:lineRule="auto"/>
              <w:jc w:val="center"/>
              <w:rPr>
                <w:rFonts w:ascii="Times New Roman" w:eastAsia="Times New Roman" w:hAnsi="Times New Roman" w:cs="Times New Roman"/>
                <w:color w:val="000000"/>
                <w:sz w:val="18"/>
                <w:szCs w:val="18"/>
                <w:lang w:eastAsia="hr-HR"/>
              </w:rPr>
            </w:pPr>
            <w:r w:rsidRPr="001C77A9">
              <w:rPr>
                <w:rFonts w:ascii="Times New Roman" w:eastAsia="Times New Roman" w:hAnsi="Times New Roman" w:cs="Times New Roman"/>
                <w:color w:val="000000"/>
                <w:sz w:val="18"/>
                <w:szCs w:val="18"/>
                <w:lang w:eastAsia="hr-HR"/>
              </w:rPr>
              <w:t>3,38%</w:t>
            </w:r>
          </w:p>
        </w:tc>
      </w:tr>
      <w:tr w:rsidR="008935FE" w:rsidRPr="001C77A9" w14:paraId="7C210DFB" w14:textId="77777777" w:rsidTr="008935FE">
        <w:trPr>
          <w:trHeight w:val="164"/>
        </w:trPr>
        <w:tc>
          <w:tcPr>
            <w:tcW w:w="1026" w:type="dxa"/>
            <w:tcBorders>
              <w:top w:val="nil"/>
              <w:left w:val="single" w:sz="8" w:space="0" w:color="auto"/>
              <w:bottom w:val="single" w:sz="8" w:space="0" w:color="auto"/>
              <w:right w:val="single" w:sz="8" w:space="0" w:color="auto"/>
            </w:tcBorders>
            <w:shd w:val="clear" w:color="000000" w:fill="F2F2F2"/>
            <w:noWrap/>
            <w:vAlign w:val="center"/>
            <w:hideMark/>
          </w:tcPr>
          <w:p w14:paraId="2240633F" w14:textId="77777777" w:rsidR="008935FE" w:rsidRPr="001C77A9" w:rsidRDefault="008935FE" w:rsidP="008935FE">
            <w:pPr>
              <w:spacing w:after="0" w:line="240" w:lineRule="auto"/>
              <w:jc w:val="right"/>
              <w:rPr>
                <w:rFonts w:ascii="Times New Roman" w:eastAsia="Times New Roman" w:hAnsi="Times New Roman" w:cs="Times New Roman"/>
                <w:b/>
                <w:bCs/>
                <w:color w:val="000000"/>
                <w:sz w:val="20"/>
                <w:szCs w:val="20"/>
                <w:lang w:eastAsia="hr-HR"/>
              </w:rPr>
            </w:pPr>
            <w:r w:rsidRPr="001C77A9">
              <w:rPr>
                <w:rFonts w:ascii="Times New Roman" w:eastAsia="Times New Roman" w:hAnsi="Times New Roman" w:cs="Times New Roman"/>
                <w:b/>
                <w:bCs/>
                <w:color w:val="000000"/>
                <w:sz w:val="20"/>
                <w:szCs w:val="20"/>
                <w:lang w:eastAsia="hr-HR"/>
              </w:rPr>
              <w:t> ukupno:</w:t>
            </w:r>
          </w:p>
        </w:tc>
        <w:tc>
          <w:tcPr>
            <w:tcW w:w="1183" w:type="dxa"/>
            <w:tcBorders>
              <w:top w:val="nil"/>
              <w:left w:val="nil"/>
              <w:bottom w:val="single" w:sz="8" w:space="0" w:color="auto"/>
              <w:right w:val="single" w:sz="8" w:space="0" w:color="auto"/>
            </w:tcBorders>
            <w:shd w:val="clear" w:color="000000" w:fill="F2F2F2"/>
            <w:noWrap/>
            <w:vAlign w:val="center"/>
            <w:hideMark/>
          </w:tcPr>
          <w:p w14:paraId="1B2C348A" w14:textId="77777777" w:rsidR="008935FE" w:rsidRPr="001C77A9" w:rsidRDefault="008935FE" w:rsidP="008935FE">
            <w:pPr>
              <w:spacing w:after="0" w:line="240" w:lineRule="auto"/>
              <w:jc w:val="center"/>
              <w:rPr>
                <w:rFonts w:ascii="Times New Roman" w:eastAsia="Times New Roman" w:hAnsi="Times New Roman" w:cs="Times New Roman"/>
                <w:b/>
                <w:bCs/>
                <w:color w:val="000000"/>
                <w:sz w:val="20"/>
                <w:szCs w:val="20"/>
                <w:lang w:eastAsia="hr-HR"/>
              </w:rPr>
            </w:pPr>
            <w:r w:rsidRPr="001C77A9">
              <w:rPr>
                <w:rFonts w:ascii="Times New Roman" w:eastAsia="Times New Roman" w:hAnsi="Times New Roman" w:cs="Times New Roman"/>
                <w:b/>
                <w:bCs/>
                <w:color w:val="000000"/>
                <w:sz w:val="20"/>
                <w:szCs w:val="20"/>
                <w:lang w:eastAsia="hr-HR"/>
              </w:rPr>
              <w:t>59.432</w:t>
            </w:r>
          </w:p>
        </w:tc>
        <w:tc>
          <w:tcPr>
            <w:tcW w:w="966" w:type="dxa"/>
            <w:tcBorders>
              <w:top w:val="nil"/>
              <w:left w:val="nil"/>
              <w:bottom w:val="single" w:sz="8" w:space="0" w:color="auto"/>
              <w:right w:val="single" w:sz="8" w:space="0" w:color="auto"/>
            </w:tcBorders>
            <w:shd w:val="clear" w:color="000000" w:fill="F2F2F2"/>
            <w:vAlign w:val="center"/>
            <w:hideMark/>
          </w:tcPr>
          <w:p w14:paraId="09E86502" w14:textId="77777777" w:rsidR="008935FE" w:rsidRPr="001C77A9" w:rsidRDefault="008935FE" w:rsidP="008935FE">
            <w:pPr>
              <w:spacing w:after="0" w:line="240" w:lineRule="auto"/>
              <w:jc w:val="center"/>
              <w:rPr>
                <w:rFonts w:ascii="Times New Roman" w:eastAsia="Times New Roman" w:hAnsi="Times New Roman" w:cs="Times New Roman"/>
                <w:b/>
                <w:bCs/>
                <w:color w:val="000000"/>
                <w:sz w:val="20"/>
                <w:szCs w:val="20"/>
                <w:lang w:eastAsia="hr-HR"/>
              </w:rPr>
            </w:pPr>
            <w:r w:rsidRPr="001C77A9">
              <w:rPr>
                <w:rFonts w:ascii="Times New Roman" w:eastAsia="Times New Roman" w:hAnsi="Times New Roman" w:cs="Times New Roman"/>
                <w:b/>
                <w:bCs/>
                <w:color w:val="000000"/>
                <w:sz w:val="20"/>
                <w:szCs w:val="20"/>
                <w:lang w:eastAsia="hr-HR"/>
              </w:rPr>
              <w:t>100,00%</w:t>
            </w:r>
          </w:p>
        </w:tc>
        <w:tc>
          <w:tcPr>
            <w:tcW w:w="1746" w:type="dxa"/>
            <w:tcBorders>
              <w:top w:val="nil"/>
              <w:left w:val="nil"/>
              <w:bottom w:val="single" w:sz="8" w:space="0" w:color="auto"/>
              <w:right w:val="single" w:sz="8" w:space="0" w:color="auto"/>
            </w:tcBorders>
            <w:shd w:val="clear" w:color="000000" w:fill="F2F2F2"/>
            <w:noWrap/>
            <w:vAlign w:val="center"/>
            <w:hideMark/>
          </w:tcPr>
          <w:p w14:paraId="3377AD28" w14:textId="77777777" w:rsidR="008935FE" w:rsidRPr="001C77A9" w:rsidRDefault="008935FE" w:rsidP="008935FE">
            <w:pPr>
              <w:spacing w:after="0" w:line="240" w:lineRule="auto"/>
              <w:jc w:val="right"/>
              <w:rPr>
                <w:rFonts w:ascii="Calibri" w:eastAsia="Times New Roman" w:hAnsi="Calibri" w:cs="Calibri"/>
                <w:b/>
                <w:bCs/>
                <w:color w:val="000000"/>
                <w:sz w:val="20"/>
                <w:szCs w:val="20"/>
                <w:lang w:eastAsia="hr-HR"/>
              </w:rPr>
            </w:pPr>
            <w:r w:rsidRPr="001C77A9">
              <w:rPr>
                <w:rFonts w:ascii="Calibri" w:eastAsia="Times New Roman" w:hAnsi="Calibri" w:cs="Calibri"/>
                <w:b/>
                <w:bCs/>
                <w:color w:val="000000"/>
                <w:sz w:val="20"/>
                <w:szCs w:val="20"/>
                <w:lang w:eastAsia="hr-HR"/>
              </w:rPr>
              <w:t>21.377.494.941,54</w:t>
            </w:r>
          </w:p>
        </w:tc>
        <w:tc>
          <w:tcPr>
            <w:tcW w:w="966" w:type="dxa"/>
            <w:tcBorders>
              <w:top w:val="nil"/>
              <w:left w:val="nil"/>
              <w:bottom w:val="single" w:sz="8" w:space="0" w:color="auto"/>
              <w:right w:val="single" w:sz="8" w:space="0" w:color="auto"/>
            </w:tcBorders>
            <w:shd w:val="clear" w:color="000000" w:fill="F2F2F2"/>
            <w:vAlign w:val="center"/>
            <w:hideMark/>
          </w:tcPr>
          <w:p w14:paraId="113AB08D" w14:textId="77777777" w:rsidR="008935FE" w:rsidRPr="001C77A9" w:rsidRDefault="008935FE" w:rsidP="008935FE">
            <w:pPr>
              <w:spacing w:after="0" w:line="240" w:lineRule="auto"/>
              <w:jc w:val="center"/>
              <w:rPr>
                <w:rFonts w:ascii="Times New Roman" w:eastAsia="Times New Roman" w:hAnsi="Times New Roman" w:cs="Times New Roman"/>
                <w:b/>
                <w:bCs/>
                <w:color w:val="000000"/>
                <w:sz w:val="20"/>
                <w:szCs w:val="20"/>
                <w:lang w:eastAsia="hr-HR"/>
              </w:rPr>
            </w:pPr>
            <w:r w:rsidRPr="001C77A9">
              <w:rPr>
                <w:rFonts w:ascii="Times New Roman" w:eastAsia="Times New Roman" w:hAnsi="Times New Roman" w:cs="Times New Roman"/>
                <w:b/>
                <w:bCs/>
                <w:color w:val="000000"/>
                <w:sz w:val="20"/>
                <w:szCs w:val="20"/>
                <w:lang w:eastAsia="hr-HR"/>
              </w:rPr>
              <w:t>100,00%</w:t>
            </w:r>
          </w:p>
        </w:tc>
        <w:tc>
          <w:tcPr>
            <w:tcW w:w="1183" w:type="dxa"/>
            <w:tcBorders>
              <w:top w:val="nil"/>
              <w:left w:val="nil"/>
              <w:bottom w:val="single" w:sz="8" w:space="0" w:color="auto"/>
              <w:right w:val="single" w:sz="8" w:space="0" w:color="auto"/>
            </w:tcBorders>
            <w:shd w:val="clear" w:color="000000" w:fill="F2F2F2"/>
            <w:vAlign w:val="center"/>
            <w:hideMark/>
          </w:tcPr>
          <w:p w14:paraId="1393BC9C" w14:textId="77777777" w:rsidR="008935FE" w:rsidRPr="001C77A9" w:rsidRDefault="008935FE" w:rsidP="008935FE">
            <w:pPr>
              <w:spacing w:after="0" w:line="240" w:lineRule="auto"/>
              <w:jc w:val="center"/>
              <w:rPr>
                <w:rFonts w:ascii="Times New Roman" w:eastAsia="Times New Roman" w:hAnsi="Times New Roman" w:cs="Times New Roman"/>
                <w:b/>
                <w:bCs/>
                <w:color w:val="000000"/>
                <w:sz w:val="20"/>
                <w:szCs w:val="20"/>
                <w:lang w:eastAsia="hr-HR"/>
              </w:rPr>
            </w:pPr>
            <w:r w:rsidRPr="001C77A9">
              <w:rPr>
                <w:rFonts w:ascii="Times New Roman" w:eastAsia="Times New Roman" w:hAnsi="Times New Roman" w:cs="Times New Roman"/>
                <w:b/>
                <w:bCs/>
                <w:color w:val="000000"/>
                <w:sz w:val="20"/>
                <w:szCs w:val="20"/>
                <w:lang w:eastAsia="hr-HR"/>
              </w:rPr>
              <w:t>68.843</w:t>
            </w:r>
          </w:p>
        </w:tc>
        <w:tc>
          <w:tcPr>
            <w:tcW w:w="966" w:type="dxa"/>
            <w:tcBorders>
              <w:top w:val="nil"/>
              <w:left w:val="nil"/>
              <w:bottom w:val="single" w:sz="8" w:space="0" w:color="auto"/>
              <w:right w:val="single" w:sz="8" w:space="0" w:color="auto"/>
            </w:tcBorders>
            <w:shd w:val="clear" w:color="000000" w:fill="F2F2F2"/>
            <w:vAlign w:val="center"/>
            <w:hideMark/>
          </w:tcPr>
          <w:p w14:paraId="25B766AB" w14:textId="77777777" w:rsidR="008935FE" w:rsidRPr="001C77A9" w:rsidRDefault="008935FE" w:rsidP="008935FE">
            <w:pPr>
              <w:spacing w:after="0" w:line="240" w:lineRule="auto"/>
              <w:jc w:val="right"/>
              <w:rPr>
                <w:rFonts w:ascii="Times New Roman" w:eastAsia="Times New Roman" w:hAnsi="Times New Roman" w:cs="Times New Roman"/>
                <w:b/>
                <w:bCs/>
                <w:color w:val="000000"/>
                <w:sz w:val="20"/>
                <w:szCs w:val="20"/>
                <w:lang w:eastAsia="hr-HR"/>
              </w:rPr>
            </w:pPr>
            <w:r w:rsidRPr="001C77A9">
              <w:rPr>
                <w:rFonts w:ascii="Times New Roman" w:eastAsia="Times New Roman" w:hAnsi="Times New Roman" w:cs="Times New Roman"/>
                <w:b/>
                <w:bCs/>
                <w:color w:val="000000"/>
                <w:sz w:val="20"/>
                <w:szCs w:val="20"/>
                <w:lang w:eastAsia="hr-HR"/>
              </w:rPr>
              <w:t>100,00%</w:t>
            </w:r>
          </w:p>
        </w:tc>
        <w:tc>
          <w:tcPr>
            <w:tcW w:w="1716" w:type="dxa"/>
            <w:tcBorders>
              <w:top w:val="nil"/>
              <w:left w:val="nil"/>
              <w:bottom w:val="single" w:sz="8" w:space="0" w:color="auto"/>
              <w:right w:val="single" w:sz="8" w:space="0" w:color="auto"/>
            </w:tcBorders>
            <w:shd w:val="clear" w:color="000000" w:fill="F2F2F2"/>
            <w:vAlign w:val="center"/>
            <w:hideMark/>
          </w:tcPr>
          <w:p w14:paraId="07EA783B" w14:textId="77777777" w:rsidR="008935FE" w:rsidRPr="001C77A9" w:rsidRDefault="008935FE" w:rsidP="008935FE">
            <w:pPr>
              <w:spacing w:after="0" w:line="240" w:lineRule="auto"/>
              <w:rPr>
                <w:rFonts w:ascii="Times New Roman" w:eastAsia="Times New Roman" w:hAnsi="Times New Roman" w:cs="Times New Roman"/>
                <w:b/>
                <w:bCs/>
                <w:color w:val="000000"/>
                <w:sz w:val="20"/>
                <w:szCs w:val="20"/>
                <w:lang w:eastAsia="hr-HR"/>
              </w:rPr>
            </w:pPr>
            <w:r w:rsidRPr="001C77A9">
              <w:rPr>
                <w:rFonts w:ascii="Times New Roman" w:eastAsia="Times New Roman" w:hAnsi="Times New Roman" w:cs="Times New Roman"/>
                <w:b/>
                <w:bCs/>
                <w:color w:val="000000"/>
                <w:sz w:val="20"/>
                <w:szCs w:val="20"/>
                <w:lang w:eastAsia="hr-HR"/>
              </w:rPr>
              <w:t>25.045.077.239,89</w:t>
            </w:r>
          </w:p>
        </w:tc>
        <w:tc>
          <w:tcPr>
            <w:tcW w:w="966" w:type="dxa"/>
            <w:tcBorders>
              <w:top w:val="nil"/>
              <w:left w:val="nil"/>
              <w:bottom w:val="single" w:sz="8" w:space="0" w:color="auto"/>
              <w:right w:val="single" w:sz="8" w:space="0" w:color="auto"/>
            </w:tcBorders>
            <w:shd w:val="clear" w:color="000000" w:fill="F2F2F2"/>
            <w:vAlign w:val="center"/>
            <w:hideMark/>
          </w:tcPr>
          <w:p w14:paraId="49131532" w14:textId="77777777" w:rsidR="008935FE" w:rsidRPr="001C77A9" w:rsidRDefault="008935FE" w:rsidP="008935FE">
            <w:pPr>
              <w:spacing w:after="0" w:line="240" w:lineRule="auto"/>
              <w:jc w:val="center"/>
              <w:rPr>
                <w:rFonts w:ascii="Times New Roman" w:eastAsia="Times New Roman" w:hAnsi="Times New Roman" w:cs="Times New Roman"/>
                <w:b/>
                <w:bCs/>
                <w:color w:val="000000"/>
                <w:sz w:val="20"/>
                <w:szCs w:val="20"/>
                <w:lang w:eastAsia="hr-HR"/>
              </w:rPr>
            </w:pPr>
            <w:r w:rsidRPr="001C77A9">
              <w:rPr>
                <w:rFonts w:ascii="Times New Roman" w:eastAsia="Times New Roman" w:hAnsi="Times New Roman" w:cs="Times New Roman"/>
                <w:b/>
                <w:bCs/>
                <w:color w:val="000000"/>
                <w:sz w:val="20"/>
                <w:szCs w:val="20"/>
                <w:lang w:eastAsia="hr-HR"/>
              </w:rPr>
              <w:t>100,00%</w:t>
            </w:r>
          </w:p>
        </w:tc>
      </w:tr>
    </w:tbl>
    <w:p w14:paraId="733EC477" w14:textId="3C63FCBE" w:rsidR="00863EF0" w:rsidRDefault="00863EF0" w:rsidP="00863EF0">
      <w:pPr>
        <w:spacing w:after="0" w:line="240" w:lineRule="auto"/>
        <w:rPr>
          <w:rFonts w:ascii="Times New Roman" w:eastAsia="Calibri" w:hAnsi="Times New Roman" w:cs="Times New Roman"/>
          <w:bCs/>
          <w:sz w:val="24"/>
          <w:szCs w:val="24"/>
        </w:rPr>
      </w:pPr>
      <w:r w:rsidRPr="00863EF0">
        <w:rPr>
          <w:rFonts w:ascii="Times New Roman" w:eastAsia="Times New Roman" w:hAnsi="Times New Roman" w:cs="Times New Roman"/>
          <w:bCs/>
          <w:sz w:val="24"/>
          <w:szCs w:val="24"/>
          <w:lang w:val="pl-PL" w:eastAsia="hr-HR"/>
        </w:rPr>
        <w:t>Tablica 21</w:t>
      </w:r>
      <w:r w:rsidRPr="00863EF0">
        <w:rPr>
          <w:rFonts w:ascii="Times New Roman" w:eastAsia="Times New Roman" w:hAnsi="Times New Roman" w:cs="Times New Roman"/>
          <w:bCs/>
          <w:sz w:val="24"/>
          <w:szCs w:val="24"/>
          <w:lang w:eastAsia="hr-HR"/>
        </w:rPr>
        <w:t>. Broj/vrijednost i s</w:t>
      </w:r>
      <w:r w:rsidRPr="00863EF0">
        <w:rPr>
          <w:rFonts w:ascii="Times New Roman" w:eastAsia="Times New Roman" w:hAnsi="Times New Roman" w:cs="Times New Roman"/>
          <w:bCs/>
          <w:sz w:val="24"/>
          <w:szCs w:val="24"/>
          <w:lang w:val="pl-PL" w:eastAsia="hr-HR"/>
        </w:rPr>
        <w:t>truktura</w:t>
      </w:r>
      <w:r w:rsidRPr="00863EF0">
        <w:rPr>
          <w:rFonts w:ascii="Times New Roman" w:eastAsia="Times New Roman" w:hAnsi="Times New Roman" w:cs="Times New Roman"/>
          <w:bCs/>
          <w:sz w:val="24"/>
          <w:szCs w:val="24"/>
          <w:lang w:eastAsia="hr-HR"/>
        </w:rPr>
        <w:t xml:space="preserve"> </w:t>
      </w:r>
      <w:r w:rsidRPr="00863EF0">
        <w:rPr>
          <w:rFonts w:ascii="Times New Roman" w:eastAsia="Times New Roman" w:hAnsi="Times New Roman" w:cs="Times New Roman"/>
          <w:bCs/>
          <w:sz w:val="24"/>
          <w:szCs w:val="24"/>
          <w:lang w:val="pl-PL" w:eastAsia="hr-HR"/>
        </w:rPr>
        <w:t>zaprimljenih</w:t>
      </w:r>
      <w:r w:rsidRPr="00863EF0">
        <w:rPr>
          <w:rFonts w:ascii="Times New Roman" w:eastAsia="Times New Roman" w:hAnsi="Times New Roman" w:cs="Times New Roman"/>
          <w:bCs/>
          <w:sz w:val="24"/>
          <w:szCs w:val="24"/>
          <w:lang w:eastAsia="hr-HR"/>
        </w:rPr>
        <w:t xml:space="preserve"> </w:t>
      </w:r>
      <w:r w:rsidRPr="00863EF0">
        <w:rPr>
          <w:rFonts w:ascii="Times New Roman" w:eastAsia="Times New Roman" w:hAnsi="Times New Roman" w:cs="Times New Roman"/>
          <w:bCs/>
          <w:sz w:val="24"/>
          <w:szCs w:val="24"/>
          <w:lang w:val="pl-PL" w:eastAsia="hr-HR"/>
        </w:rPr>
        <w:t>gotovinskih</w:t>
      </w:r>
      <w:r w:rsidRPr="00863EF0">
        <w:rPr>
          <w:rFonts w:ascii="Times New Roman" w:eastAsia="Times New Roman" w:hAnsi="Times New Roman" w:cs="Times New Roman"/>
          <w:bCs/>
          <w:sz w:val="24"/>
          <w:szCs w:val="24"/>
          <w:lang w:eastAsia="hr-HR"/>
        </w:rPr>
        <w:t xml:space="preserve"> </w:t>
      </w:r>
      <w:r w:rsidRPr="00863EF0">
        <w:rPr>
          <w:rFonts w:ascii="Times New Roman" w:eastAsia="Times New Roman" w:hAnsi="Times New Roman" w:cs="Times New Roman"/>
          <w:bCs/>
          <w:sz w:val="24"/>
          <w:szCs w:val="24"/>
          <w:lang w:val="pl-PL" w:eastAsia="hr-HR"/>
        </w:rPr>
        <w:t>transakcija u 2022.</w:t>
      </w:r>
      <w:r w:rsidRPr="00863EF0">
        <w:rPr>
          <w:rFonts w:ascii="Times New Roman" w:eastAsia="Times New Roman" w:hAnsi="Times New Roman" w:cs="Times New Roman"/>
          <w:bCs/>
          <w:sz w:val="24"/>
          <w:szCs w:val="24"/>
          <w:lang w:eastAsia="hr-HR"/>
        </w:rPr>
        <w:t xml:space="preserve"> </w:t>
      </w:r>
      <w:r w:rsidRPr="00863EF0">
        <w:rPr>
          <w:rFonts w:ascii="Times New Roman" w:eastAsia="Times New Roman" w:hAnsi="Times New Roman" w:cs="Times New Roman"/>
          <w:bCs/>
          <w:sz w:val="24"/>
          <w:szCs w:val="24"/>
          <w:lang w:val="pl-PL" w:eastAsia="hr-HR"/>
        </w:rPr>
        <w:t>prema</w:t>
      </w:r>
      <w:r w:rsidRPr="00863EF0">
        <w:rPr>
          <w:rFonts w:ascii="Times New Roman" w:eastAsia="Times New Roman" w:hAnsi="Times New Roman" w:cs="Times New Roman"/>
          <w:bCs/>
          <w:sz w:val="24"/>
          <w:szCs w:val="24"/>
          <w:lang w:eastAsia="hr-HR"/>
        </w:rPr>
        <w:t xml:space="preserve"> </w:t>
      </w:r>
      <w:r w:rsidRPr="00863EF0">
        <w:rPr>
          <w:rFonts w:ascii="Times New Roman" w:eastAsia="Calibri" w:hAnsi="Times New Roman" w:cs="Times New Roman"/>
          <w:bCs/>
          <w:sz w:val="24"/>
          <w:szCs w:val="24"/>
        </w:rPr>
        <w:t>opisu svrhe (namjene) transakcije</w:t>
      </w:r>
    </w:p>
    <w:p w14:paraId="62E3DF29" w14:textId="77777777" w:rsidR="008935FE" w:rsidRPr="00863EF0" w:rsidRDefault="008935FE" w:rsidP="00863EF0">
      <w:pPr>
        <w:spacing w:after="0" w:line="240" w:lineRule="auto"/>
        <w:rPr>
          <w:rFonts w:ascii="Times New Roman" w:eastAsia="Calibri" w:hAnsi="Times New Roman" w:cs="Times New Roman"/>
          <w:bCs/>
          <w:sz w:val="24"/>
          <w:szCs w:val="24"/>
        </w:rPr>
      </w:pPr>
    </w:p>
    <w:p w14:paraId="4A03F700" w14:textId="26251B0D" w:rsidR="00863EF0" w:rsidRDefault="00863EF0" w:rsidP="00863EF0">
      <w:pPr>
        <w:spacing w:after="0" w:line="240" w:lineRule="auto"/>
        <w:rPr>
          <w:rFonts w:ascii="Times New Roman" w:eastAsia="Calibri" w:hAnsi="Times New Roman" w:cs="Times New Roman"/>
          <w:bCs/>
          <w:sz w:val="24"/>
          <w:szCs w:val="24"/>
        </w:rPr>
      </w:pPr>
    </w:p>
    <w:p w14:paraId="788B7D96" w14:textId="4F7924FE" w:rsidR="002118EE" w:rsidRDefault="002118EE" w:rsidP="00863EF0">
      <w:pPr>
        <w:spacing w:after="0" w:line="240" w:lineRule="auto"/>
        <w:rPr>
          <w:rFonts w:ascii="Times New Roman" w:eastAsia="Calibri" w:hAnsi="Times New Roman" w:cs="Times New Roman"/>
          <w:bCs/>
          <w:sz w:val="24"/>
          <w:szCs w:val="24"/>
        </w:rPr>
      </w:pPr>
    </w:p>
    <w:p w14:paraId="758CF6EB" w14:textId="61776C07" w:rsidR="002118EE" w:rsidRDefault="002118EE" w:rsidP="00863EF0">
      <w:pPr>
        <w:spacing w:after="0" w:line="240" w:lineRule="auto"/>
        <w:rPr>
          <w:rFonts w:ascii="Times New Roman" w:eastAsia="Calibri" w:hAnsi="Times New Roman" w:cs="Times New Roman"/>
          <w:bCs/>
          <w:sz w:val="24"/>
          <w:szCs w:val="24"/>
        </w:rPr>
      </w:pPr>
    </w:p>
    <w:p w14:paraId="6CA05F88" w14:textId="44027924" w:rsidR="00863EF0" w:rsidRPr="00906640" w:rsidRDefault="00863EF0" w:rsidP="00863EF0">
      <w:pPr>
        <w:spacing w:after="0" w:line="240" w:lineRule="auto"/>
        <w:jc w:val="both"/>
        <w:rPr>
          <w:rFonts w:ascii="Times New Roman" w:eastAsia="Calibri" w:hAnsi="Times New Roman" w:cs="Times New Roman"/>
          <w:b/>
          <w:bCs/>
          <w:sz w:val="24"/>
          <w:szCs w:val="24"/>
        </w:rPr>
      </w:pPr>
      <w:r w:rsidRPr="00906640">
        <w:rPr>
          <w:rFonts w:ascii="Times New Roman" w:eastAsia="Times New Roman" w:hAnsi="Times New Roman" w:cs="Times New Roman"/>
          <w:b/>
          <w:sz w:val="24"/>
          <w:szCs w:val="24"/>
        </w:rPr>
        <w:lastRenderedPageBreak/>
        <w:t>Podatci o broju i strukturi zaprimljenih gotovinskih transakcija u 202</w:t>
      </w:r>
      <w:r>
        <w:rPr>
          <w:rFonts w:ascii="Times New Roman" w:eastAsia="Times New Roman" w:hAnsi="Times New Roman" w:cs="Times New Roman"/>
          <w:b/>
          <w:sz w:val="24"/>
          <w:szCs w:val="24"/>
        </w:rPr>
        <w:t>2</w:t>
      </w:r>
      <w:r w:rsidRPr="00906640">
        <w:rPr>
          <w:rFonts w:ascii="Times New Roman" w:eastAsia="Times New Roman" w:hAnsi="Times New Roman" w:cs="Times New Roman"/>
          <w:b/>
          <w:sz w:val="24"/>
          <w:szCs w:val="24"/>
        </w:rPr>
        <w:t>. prema rezidentnosti osobe (stranke) koja obavlja gotovinsku transakciju</w:t>
      </w:r>
    </w:p>
    <w:p w14:paraId="5F7DDA7E" w14:textId="77777777" w:rsidR="00863EF0" w:rsidRDefault="00863EF0" w:rsidP="00863EF0">
      <w:pPr>
        <w:spacing w:after="0" w:line="240" w:lineRule="auto"/>
        <w:ind w:right="-128"/>
        <w:jc w:val="both"/>
        <w:rPr>
          <w:rFonts w:ascii="Times New Roman" w:eastAsia="Calibri" w:hAnsi="Times New Roman" w:cs="Times New Roman"/>
          <w:sz w:val="24"/>
          <w:szCs w:val="24"/>
        </w:rPr>
      </w:pPr>
    </w:p>
    <w:p w14:paraId="7A33F7CD" w14:textId="09B0D3AE" w:rsidR="00863EF0" w:rsidRDefault="00863EF0" w:rsidP="00863EF0">
      <w:pPr>
        <w:spacing w:after="0" w:line="240" w:lineRule="auto"/>
        <w:ind w:right="-128"/>
        <w:jc w:val="both"/>
        <w:rPr>
          <w:rFonts w:ascii="Times New Roman" w:eastAsia="Calibri" w:hAnsi="Times New Roman" w:cs="Times New Roman"/>
          <w:sz w:val="24"/>
          <w:szCs w:val="24"/>
        </w:rPr>
      </w:pPr>
      <w:r w:rsidRPr="009131C4">
        <w:rPr>
          <w:rFonts w:ascii="Times New Roman" w:eastAsia="Calibri" w:hAnsi="Times New Roman" w:cs="Times New Roman"/>
          <w:sz w:val="24"/>
          <w:szCs w:val="24"/>
        </w:rPr>
        <w:t xml:space="preserve">U </w:t>
      </w:r>
      <w:r>
        <w:rPr>
          <w:rFonts w:ascii="Times New Roman" w:eastAsia="Calibri" w:hAnsi="Times New Roman" w:cs="Times New Roman"/>
          <w:sz w:val="24"/>
          <w:szCs w:val="24"/>
        </w:rPr>
        <w:t>G</w:t>
      </w:r>
      <w:r w:rsidRPr="009131C4">
        <w:rPr>
          <w:rFonts w:ascii="Times New Roman" w:eastAsia="Calibri" w:hAnsi="Times New Roman" w:cs="Times New Roman"/>
          <w:sz w:val="24"/>
          <w:szCs w:val="24"/>
        </w:rPr>
        <w:t xml:space="preserve">rafikonu </w:t>
      </w:r>
      <w:r>
        <w:rPr>
          <w:rFonts w:ascii="Times New Roman" w:eastAsia="Calibri" w:hAnsi="Times New Roman" w:cs="Times New Roman"/>
          <w:sz w:val="24"/>
          <w:szCs w:val="24"/>
        </w:rPr>
        <w:t xml:space="preserve">9. </w:t>
      </w:r>
      <w:r w:rsidRPr="009131C4">
        <w:rPr>
          <w:rFonts w:ascii="Times New Roman" w:eastAsia="Calibri" w:hAnsi="Times New Roman" w:cs="Times New Roman"/>
          <w:sz w:val="24"/>
          <w:szCs w:val="24"/>
        </w:rPr>
        <w:t xml:space="preserve">prikazana je struktura gotovinskih transakcija zaprimljenih u 2022. prema rezidentnosti osobe (stranke) koja obavlja transakciju. </w:t>
      </w:r>
      <w:r w:rsidRPr="009131C4">
        <w:rPr>
          <w:rFonts w:ascii="Times New Roman" w:eastAsia="Times New Roman" w:hAnsi="Times New Roman" w:cs="Times New Roman"/>
          <w:bCs/>
          <w:color w:val="000000"/>
          <w:sz w:val="24"/>
          <w:szCs w:val="24"/>
          <w:lang w:eastAsia="hr-HR"/>
        </w:rPr>
        <w:t xml:space="preserve">U 2022. obveznici su prijavili osobe iz 70 država. </w:t>
      </w:r>
      <w:r w:rsidRPr="009131C4">
        <w:rPr>
          <w:rFonts w:ascii="Times New Roman" w:eastAsia="Calibri" w:hAnsi="Times New Roman" w:cs="Times New Roman"/>
          <w:bCs/>
          <w:sz w:val="24"/>
          <w:szCs w:val="24"/>
        </w:rPr>
        <w:t xml:space="preserve">Od ukupno </w:t>
      </w:r>
      <w:r w:rsidRPr="009131C4">
        <w:rPr>
          <w:rFonts w:ascii="Times New Roman" w:eastAsia="Calibri" w:hAnsi="Times New Roman" w:cs="Times New Roman"/>
          <w:bCs/>
          <w:color w:val="000000"/>
          <w:sz w:val="24"/>
          <w:szCs w:val="24"/>
          <w:lang w:eastAsia="hr-HR"/>
        </w:rPr>
        <w:t xml:space="preserve">68.843 </w:t>
      </w:r>
      <w:r w:rsidRPr="009131C4">
        <w:rPr>
          <w:rFonts w:ascii="Times New Roman" w:eastAsia="Calibri" w:hAnsi="Times New Roman" w:cs="Times New Roman"/>
          <w:bCs/>
          <w:sz w:val="24"/>
          <w:szCs w:val="24"/>
        </w:rPr>
        <w:t xml:space="preserve">gotovinskih transakcija najveći broj gotovinskih transakcija su obavile osobe iz Hrvatske (94,99 %), </w:t>
      </w:r>
      <w:r w:rsidRPr="009131C4">
        <w:rPr>
          <w:rFonts w:ascii="Times New Roman" w:eastAsia="Times New Roman" w:hAnsi="Times New Roman" w:cs="Times New Roman"/>
          <w:bCs/>
          <w:color w:val="000000"/>
          <w:sz w:val="24"/>
          <w:szCs w:val="24"/>
          <w:lang w:eastAsia="hr-HR"/>
        </w:rPr>
        <w:t xml:space="preserve">Njemačke (1,04%), Bosne i Hercegovine (0,87%), Austrije (0,28%), Italije (0,24%), Slovenije (0,23%), SAD-a (0,20%) i Srbije (0,19%) </w:t>
      </w:r>
      <w:r w:rsidRPr="009131C4">
        <w:rPr>
          <w:rFonts w:ascii="Times New Roman" w:eastAsia="Times New Roman" w:hAnsi="Times New Roman" w:cs="Times New Roman"/>
          <w:bCs/>
          <w:sz w:val="24"/>
          <w:szCs w:val="24"/>
          <w:lang w:eastAsia="hr-HR"/>
        </w:rPr>
        <w:t>dok je udio osoba iz ostalih država 1,</w:t>
      </w:r>
      <w:r>
        <w:rPr>
          <w:rFonts w:ascii="Times New Roman" w:eastAsia="Times New Roman" w:hAnsi="Times New Roman" w:cs="Times New Roman"/>
          <w:bCs/>
          <w:sz w:val="24"/>
          <w:szCs w:val="24"/>
          <w:lang w:eastAsia="hr-HR"/>
        </w:rPr>
        <w:t>22</w:t>
      </w:r>
      <w:r w:rsidRPr="009131C4">
        <w:rPr>
          <w:rFonts w:ascii="Times New Roman" w:eastAsia="Times New Roman" w:hAnsi="Times New Roman" w:cs="Times New Roman"/>
          <w:bCs/>
          <w:sz w:val="24"/>
          <w:szCs w:val="24"/>
          <w:lang w:eastAsia="hr-HR"/>
        </w:rPr>
        <w:t xml:space="preserve"> %, </w:t>
      </w:r>
      <w:r w:rsidRPr="009131C4">
        <w:rPr>
          <w:rFonts w:ascii="Times New Roman" w:eastAsia="Calibri" w:hAnsi="Times New Roman" w:cs="Times New Roman"/>
          <w:sz w:val="24"/>
          <w:szCs w:val="24"/>
        </w:rPr>
        <w:t xml:space="preserve">a što je vidljivo na grafikonu. </w:t>
      </w:r>
    </w:p>
    <w:p w14:paraId="36B6601F" w14:textId="77777777" w:rsidR="00863EF0" w:rsidRDefault="00863EF0" w:rsidP="00863EF0">
      <w:pPr>
        <w:spacing w:after="0" w:line="240" w:lineRule="auto"/>
        <w:ind w:right="-128"/>
        <w:jc w:val="both"/>
        <w:rPr>
          <w:rFonts w:ascii="Times New Roman" w:eastAsia="Calibri" w:hAnsi="Times New Roman" w:cs="Times New Roman"/>
          <w:sz w:val="24"/>
          <w:szCs w:val="24"/>
          <w:u w:val="single"/>
        </w:rPr>
      </w:pPr>
    </w:p>
    <w:p w14:paraId="3FCAE2FC" w14:textId="05D95A7F" w:rsidR="00863EF0" w:rsidRPr="00A94785" w:rsidRDefault="00863EF0" w:rsidP="00863EF0">
      <w:pPr>
        <w:spacing w:after="0" w:line="240" w:lineRule="auto"/>
        <w:ind w:right="-128"/>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Grafikon 9</w:t>
      </w:r>
      <w:r w:rsidRPr="00A94785">
        <w:rPr>
          <w:rFonts w:ascii="Times New Roman" w:eastAsia="Calibri" w:hAnsi="Times New Roman" w:cs="Times New Roman"/>
          <w:sz w:val="24"/>
          <w:szCs w:val="24"/>
          <w:u w:val="single"/>
        </w:rPr>
        <w:t>.</w:t>
      </w:r>
    </w:p>
    <w:p w14:paraId="6572B4D6" w14:textId="77777777" w:rsidR="00863EF0" w:rsidRPr="00906640" w:rsidRDefault="00863EF0" w:rsidP="00863EF0">
      <w:r>
        <w:rPr>
          <w:noProof/>
          <w:lang w:eastAsia="hr-HR"/>
        </w:rPr>
        <w:drawing>
          <wp:inline distT="0" distB="0" distL="0" distR="0" wp14:anchorId="13A1A2AC" wp14:editId="08BA4AFC">
            <wp:extent cx="4676775" cy="2095500"/>
            <wp:effectExtent l="0" t="0" r="9525" b="0"/>
            <wp:docPr id="23" name="Slika 23"/>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76775" cy="2095500"/>
                    </a:xfrm>
                    <a:prstGeom prst="rect">
                      <a:avLst/>
                    </a:prstGeom>
                    <a:noFill/>
                  </pic:spPr>
                </pic:pic>
              </a:graphicData>
            </a:graphic>
          </wp:inline>
        </w:drawing>
      </w:r>
    </w:p>
    <w:p w14:paraId="7C906708" w14:textId="77777777" w:rsidR="00863EF0" w:rsidRDefault="00863EF0" w:rsidP="00863EF0">
      <w:pPr>
        <w:spacing w:after="0" w:line="240" w:lineRule="auto"/>
        <w:jc w:val="both"/>
        <w:rPr>
          <w:rFonts w:ascii="Times New Roman" w:hAnsi="Times New Roman" w:cs="Times New Roman"/>
          <w:b/>
          <w:sz w:val="24"/>
          <w:szCs w:val="24"/>
        </w:rPr>
      </w:pPr>
    </w:p>
    <w:p w14:paraId="75DEAED3" w14:textId="377F42B0" w:rsidR="003B2A4B" w:rsidRDefault="003B2A4B" w:rsidP="00E201A5">
      <w:pPr>
        <w:spacing w:after="0" w:line="240" w:lineRule="auto"/>
        <w:jc w:val="both"/>
        <w:rPr>
          <w:rFonts w:ascii="Times New Roman" w:hAnsi="Times New Roman" w:cs="Times New Roman"/>
          <w:b/>
          <w:sz w:val="24"/>
          <w:szCs w:val="24"/>
        </w:rPr>
      </w:pPr>
    </w:p>
    <w:p w14:paraId="282E1F66" w14:textId="77777777" w:rsidR="00973499" w:rsidRDefault="00973499" w:rsidP="00E201A5">
      <w:pPr>
        <w:spacing w:after="0" w:line="240" w:lineRule="auto"/>
        <w:jc w:val="both"/>
        <w:rPr>
          <w:rFonts w:ascii="Times New Roman" w:hAnsi="Times New Roman" w:cs="Times New Roman"/>
          <w:b/>
          <w:sz w:val="24"/>
          <w:szCs w:val="24"/>
        </w:rPr>
      </w:pPr>
    </w:p>
    <w:p w14:paraId="7AE5C411" w14:textId="77777777" w:rsidR="003B2A4B" w:rsidRDefault="003B2A4B" w:rsidP="00E201A5">
      <w:pPr>
        <w:spacing w:after="0" w:line="240" w:lineRule="auto"/>
        <w:jc w:val="both"/>
        <w:rPr>
          <w:rFonts w:ascii="Times New Roman" w:hAnsi="Times New Roman" w:cs="Times New Roman"/>
          <w:b/>
          <w:sz w:val="24"/>
          <w:szCs w:val="24"/>
        </w:rPr>
      </w:pPr>
    </w:p>
    <w:p w14:paraId="29EB183B" w14:textId="77777777" w:rsidR="00863EF0" w:rsidRDefault="00863EF0" w:rsidP="00294E20">
      <w:pPr>
        <w:pStyle w:val="Naslov3"/>
      </w:pPr>
    </w:p>
    <w:p w14:paraId="5B9FC446" w14:textId="10DA8348" w:rsidR="00E201A5" w:rsidRPr="00E201A5" w:rsidRDefault="00294E20" w:rsidP="00294E20">
      <w:pPr>
        <w:pStyle w:val="Naslov3"/>
      </w:pPr>
      <w:bookmarkStart w:id="24" w:name="_Toc153353427"/>
      <w:r>
        <w:t>3.3.</w:t>
      </w:r>
      <w:r>
        <w:tab/>
        <w:t>Tipologije pranja novca identificirane u slučajevima Ureda</w:t>
      </w:r>
      <w:bookmarkEnd w:id="24"/>
    </w:p>
    <w:p w14:paraId="1B399443" w14:textId="77777777" w:rsidR="00E201A5" w:rsidRDefault="00E201A5" w:rsidP="00E201A5">
      <w:pPr>
        <w:spacing w:after="0" w:line="240" w:lineRule="auto"/>
        <w:jc w:val="both"/>
        <w:rPr>
          <w:rFonts w:ascii="Times New Roman" w:hAnsi="Times New Roman" w:cs="Times New Roman"/>
          <w:sz w:val="24"/>
          <w:szCs w:val="24"/>
        </w:rPr>
      </w:pPr>
    </w:p>
    <w:p w14:paraId="0AF99839" w14:textId="6F1BA951" w:rsidR="00E201A5" w:rsidRPr="00026787" w:rsidRDefault="00294E20" w:rsidP="00E201A5">
      <w:pPr>
        <w:spacing w:after="0" w:line="240" w:lineRule="auto"/>
        <w:jc w:val="both"/>
        <w:rPr>
          <w:rFonts w:ascii="Times New Roman" w:eastAsia="Times New Roman" w:hAnsi="Times New Roman" w:cs="Times New Roman"/>
          <w:sz w:val="24"/>
          <w:szCs w:val="24"/>
          <w:shd w:val="clear" w:color="auto" w:fill="FFFFFF"/>
          <w:lang w:val="en-US"/>
        </w:rPr>
      </w:pPr>
      <w:r>
        <w:rPr>
          <w:rFonts w:ascii="Times New Roman" w:eastAsia="Times New Roman" w:hAnsi="Times New Roman" w:cs="Times New Roman"/>
          <w:sz w:val="24"/>
          <w:szCs w:val="24"/>
          <w:shd w:val="clear" w:color="auto" w:fill="FFFFFF"/>
          <w:lang w:val="en-US"/>
        </w:rPr>
        <w:t xml:space="preserve">Ured je identificirao tipologije pranja novca provevši analizu slučajeva koji su dostavljeni na nadležno postupanje tijelima kaznenog progona, a u kojim slučajevima je utvrđena sumnja na pranje novca povezano s </w:t>
      </w:r>
      <w:r w:rsidRPr="00294E20">
        <w:rPr>
          <w:rFonts w:ascii="Times New Roman" w:eastAsia="Times New Roman" w:hAnsi="Times New Roman" w:cs="Times New Roman"/>
          <w:sz w:val="24"/>
          <w:szCs w:val="24"/>
          <w:shd w:val="clear" w:color="auto" w:fill="FFFFFF"/>
          <w:lang w:val="en-US"/>
        </w:rPr>
        <w:t>predikatnim kaznenim djelima</w:t>
      </w:r>
      <w:r>
        <w:rPr>
          <w:rFonts w:ascii="Times New Roman" w:eastAsia="Times New Roman" w:hAnsi="Times New Roman" w:cs="Times New Roman"/>
          <w:i/>
          <w:sz w:val="24"/>
          <w:szCs w:val="24"/>
          <w:shd w:val="clear" w:color="auto" w:fill="FFFFFF"/>
          <w:lang w:val="en-US"/>
        </w:rPr>
        <w:t xml:space="preserve"> </w:t>
      </w:r>
      <w:r w:rsidR="00E201A5" w:rsidRPr="00026787">
        <w:rPr>
          <w:rFonts w:ascii="Times New Roman" w:eastAsia="Times New Roman" w:hAnsi="Times New Roman" w:cs="Times New Roman"/>
          <w:sz w:val="24"/>
          <w:szCs w:val="24"/>
          <w:shd w:val="clear" w:color="auto" w:fill="FFFFFF"/>
          <w:lang w:val="en-US"/>
        </w:rPr>
        <w:t>utaj</w:t>
      </w:r>
      <w:r>
        <w:rPr>
          <w:rFonts w:ascii="Times New Roman" w:eastAsia="Times New Roman" w:hAnsi="Times New Roman" w:cs="Times New Roman"/>
          <w:sz w:val="24"/>
          <w:szCs w:val="24"/>
          <w:shd w:val="clear" w:color="auto" w:fill="FFFFFF"/>
          <w:lang w:val="en-US"/>
        </w:rPr>
        <w:t>e</w:t>
      </w:r>
      <w:r w:rsidR="00E201A5" w:rsidRPr="00026787">
        <w:rPr>
          <w:rFonts w:ascii="Times New Roman" w:eastAsia="Times New Roman" w:hAnsi="Times New Roman" w:cs="Times New Roman"/>
          <w:sz w:val="24"/>
          <w:szCs w:val="24"/>
          <w:shd w:val="clear" w:color="auto" w:fill="FFFFFF"/>
          <w:lang w:val="en-US"/>
        </w:rPr>
        <w:t xml:space="preserve"> poreza, koruptivn</w:t>
      </w:r>
      <w:r>
        <w:rPr>
          <w:rFonts w:ascii="Times New Roman" w:eastAsia="Times New Roman" w:hAnsi="Times New Roman" w:cs="Times New Roman"/>
          <w:sz w:val="24"/>
          <w:szCs w:val="24"/>
          <w:shd w:val="clear" w:color="auto" w:fill="FFFFFF"/>
          <w:lang w:val="en-US"/>
        </w:rPr>
        <w:t>im kaznenim</w:t>
      </w:r>
      <w:r w:rsidR="00E201A5" w:rsidRPr="00026787">
        <w:rPr>
          <w:rFonts w:ascii="Times New Roman" w:eastAsia="Times New Roman" w:hAnsi="Times New Roman" w:cs="Times New Roman"/>
          <w:sz w:val="24"/>
          <w:szCs w:val="24"/>
          <w:shd w:val="clear" w:color="auto" w:fill="FFFFFF"/>
          <w:lang w:val="en-US"/>
        </w:rPr>
        <w:t xml:space="preserve"> djel</w:t>
      </w:r>
      <w:r>
        <w:rPr>
          <w:rFonts w:ascii="Times New Roman" w:eastAsia="Times New Roman" w:hAnsi="Times New Roman" w:cs="Times New Roman"/>
          <w:sz w:val="24"/>
          <w:szCs w:val="24"/>
          <w:shd w:val="clear" w:color="auto" w:fill="FFFFFF"/>
          <w:lang w:val="en-US"/>
        </w:rPr>
        <w:t>ima</w:t>
      </w:r>
      <w:r w:rsidR="00E201A5" w:rsidRPr="00026787">
        <w:rPr>
          <w:rFonts w:ascii="Times New Roman" w:eastAsia="Times New Roman" w:hAnsi="Times New Roman" w:cs="Times New Roman"/>
          <w:sz w:val="24"/>
          <w:szCs w:val="24"/>
          <w:shd w:val="clear" w:color="auto" w:fill="FFFFFF"/>
          <w:lang w:val="en-US"/>
        </w:rPr>
        <w:t xml:space="preserve"> te zlouporab</w:t>
      </w:r>
      <w:r>
        <w:rPr>
          <w:rFonts w:ascii="Times New Roman" w:eastAsia="Times New Roman" w:hAnsi="Times New Roman" w:cs="Times New Roman"/>
          <w:sz w:val="24"/>
          <w:szCs w:val="24"/>
          <w:shd w:val="clear" w:color="auto" w:fill="FFFFFF"/>
          <w:lang w:val="en-US"/>
        </w:rPr>
        <w:t>om opojnih droga. Naime navedena područja kriminaliteta</w:t>
      </w:r>
      <w:r w:rsidR="00E201A5" w:rsidRPr="00026787">
        <w:rPr>
          <w:rFonts w:ascii="Times New Roman" w:eastAsia="Times New Roman" w:hAnsi="Times New Roman" w:cs="Times New Roman"/>
          <w:sz w:val="24"/>
          <w:szCs w:val="24"/>
          <w:shd w:val="clear" w:color="auto" w:fill="FFFFFF"/>
          <w:lang w:val="en-US"/>
        </w:rPr>
        <w:t xml:space="preserve"> predstavljaju </w:t>
      </w:r>
      <w:r>
        <w:rPr>
          <w:rFonts w:ascii="Times New Roman" w:eastAsia="Times New Roman" w:hAnsi="Times New Roman" w:cs="Times New Roman"/>
          <w:sz w:val="24"/>
          <w:szCs w:val="24"/>
          <w:shd w:val="clear" w:color="auto" w:fill="FFFFFF"/>
          <w:lang w:val="en-US"/>
        </w:rPr>
        <w:t>naj</w:t>
      </w:r>
      <w:r w:rsidR="00E201A5" w:rsidRPr="00026787">
        <w:rPr>
          <w:rFonts w:ascii="Times New Roman" w:eastAsia="Times New Roman" w:hAnsi="Times New Roman" w:cs="Times New Roman"/>
          <w:sz w:val="24"/>
          <w:szCs w:val="24"/>
          <w:shd w:val="clear" w:color="auto" w:fill="FFFFFF"/>
          <w:lang w:val="en-US"/>
        </w:rPr>
        <w:t xml:space="preserve">veći rizik od pranja novca. </w:t>
      </w:r>
      <w:r>
        <w:rPr>
          <w:rFonts w:ascii="Times New Roman" w:eastAsia="Times New Roman" w:hAnsi="Times New Roman" w:cs="Times New Roman"/>
          <w:sz w:val="24"/>
          <w:szCs w:val="24"/>
          <w:shd w:val="clear" w:color="auto" w:fill="FFFFFF"/>
          <w:lang w:val="en-US"/>
        </w:rPr>
        <w:t>P</w:t>
      </w:r>
      <w:r w:rsidR="00E201A5" w:rsidRPr="00026787">
        <w:rPr>
          <w:rFonts w:ascii="Times New Roman" w:eastAsia="Times New Roman" w:hAnsi="Times New Roman" w:cs="Times New Roman"/>
          <w:sz w:val="24"/>
          <w:szCs w:val="24"/>
          <w:shd w:val="clear" w:color="auto" w:fill="FFFFFF"/>
          <w:lang w:val="en-US"/>
        </w:rPr>
        <w:t xml:space="preserve">očinjenjem </w:t>
      </w:r>
      <w:r>
        <w:rPr>
          <w:rFonts w:ascii="Times New Roman" w:eastAsia="Times New Roman" w:hAnsi="Times New Roman" w:cs="Times New Roman"/>
          <w:sz w:val="24"/>
          <w:szCs w:val="24"/>
          <w:shd w:val="clear" w:color="auto" w:fill="FFFFFF"/>
          <w:lang w:val="en-US"/>
        </w:rPr>
        <w:t>takvih vrsta</w:t>
      </w:r>
      <w:r w:rsidR="00E201A5" w:rsidRPr="00026787">
        <w:rPr>
          <w:rFonts w:ascii="Times New Roman" w:eastAsia="Times New Roman" w:hAnsi="Times New Roman" w:cs="Times New Roman"/>
          <w:sz w:val="24"/>
          <w:szCs w:val="24"/>
          <w:shd w:val="clear" w:color="auto" w:fill="FFFFFF"/>
          <w:lang w:val="en-US"/>
        </w:rPr>
        <w:t xml:space="preserve"> kaznenih djela generira se velika protuzakonita imovinska korist koja se nastoji prikriti ulaganjem u financijske tijekove, stjecanjem ne</w:t>
      </w:r>
      <w:r>
        <w:rPr>
          <w:rFonts w:ascii="Times New Roman" w:eastAsia="Times New Roman" w:hAnsi="Times New Roman" w:cs="Times New Roman"/>
          <w:sz w:val="24"/>
          <w:szCs w:val="24"/>
          <w:shd w:val="clear" w:color="auto" w:fill="FFFFFF"/>
          <w:lang w:val="en-US"/>
        </w:rPr>
        <w:t>kretnina i druge vrste imovine.</w:t>
      </w:r>
    </w:p>
    <w:p w14:paraId="245179EE" w14:textId="77777777" w:rsidR="00E201A5" w:rsidRPr="00026787" w:rsidRDefault="00E201A5" w:rsidP="00E201A5">
      <w:pPr>
        <w:spacing w:after="0" w:line="240" w:lineRule="auto"/>
        <w:jc w:val="both"/>
        <w:rPr>
          <w:rFonts w:ascii="Times New Roman" w:eastAsia="Times New Roman" w:hAnsi="Times New Roman" w:cs="Times New Roman"/>
          <w:sz w:val="24"/>
          <w:szCs w:val="24"/>
          <w:shd w:val="clear" w:color="auto" w:fill="FFFFFF"/>
          <w:lang w:val="en-US"/>
        </w:rPr>
      </w:pPr>
    </w:p>
    <w:p w14:paraId="64BF7447" w14:textId="799B9920" w:rsidR="00E201A5" w:rsidRPr="009131C4" w:rsidRDefault="00E201A5" w:rsidP="00E201A5">
      <w:pPr>
        <w:spacing w:after="0" w:line="240" w:lineRule="auto"/>
        <w:jc w:val="both"/>
        <w:rPr>
          <w:rFonts w:ascii="Times New Roman" w:eastAsia="Times New Roman" w:hAnsi="Times New Roman" w:cs="Times New Roman"/>
          <w:sz w:val="24"/>
          <w:szCs w:val="24"/>
          <w:shd w:val="clear" w:color="auto" w:fill="FFFFFF"/>
          <w:lang w:val="en-US"/>
        </w:rPr>
      </w:pPr>
      <w:r w:rsidRPr="009131C4">
        <w:rPr>
          <w:rFonts w:ascii="Times New Roman" w:eastAsia="Times New Roman" w:hAnsi="Times New Roman" w:cs="Times New Roman"/>
          <w:sz w:val="24"/>
          <w:szCs w:val="24"/>
          <w:shd w:val="clear" w:color="auto" w:fill="FFFFFF"/>
          <w:lang w:val="en-US"/>
        </w:rPr>
        <w:t xml:space="preserve">U </w:t>
      </w:r>
      <w:r w:rsidR="00294E20">
        <w:rPr>
          <w:rFonts w:ascii="Times New Roman" w:eastAsia="Times New Roman" w:hAnsi="Times New Roman" w:cs="Times New Roman"/>
          <w:sz w:val="24"/>
          <w:szCs w:val="24"/>
          <w:shd w:val="clear" w:color="auto" w:fill="FFFFFF"/>
          <w:lang w:val="en-US"/>
        </w:rPr>
        <w:t xml:space="preserve">analizi sumnjivih transakcija korištene </w:t>
      </w:r>
      <w:r w:rsidRPr="009131C4">
        <w:rPr>
          <w:rFonts w:ascii="Times New Roman" w:eastAsia="Times New Roman" w:hAnsi="Times New Roman" w:cs="Times New Roman"/>
          <w:sz w:val="24"/>
          <w:szCs w:val="24"/>
          <w:shd w:val="clear" w:color="auto" w:fill="FFFFFF"/>
          <w:lang w:val="en-US"/>
        </w:rPr>
        <w:t>su i analize zaprimljenih</w:t>
      </w:r>
      <w:r w:rsidR="00294E20">
        <w:rPr>
          <w:rFonts w:ascii="Times New Roman" w:eastAsia="Times New Roman" w:hAnsi="Times New Roman" w:cs="Times New Roman"/>
          <w:sz w:val="24"/>
          <w:szCs w:val="24"/>
          <w:shd w:val="clear" w:color="auto" w:fill="FFFFFF"/>
          <w:lang w:val="en-US"/>
        </w:rPr>
        <w:t xml:space="preserve"> obavijesti o</w:t>
      </w:r>
      <w:r w:rsidRPr="009131C4">
        <w:rPr>
          <w:rFonts w:ascii="Times New Roman" w:eastAsia="Times New Roman" w:hAnsi="Times New Roman" w:cs="Times New Roman"/>
          <w:sz w:val="24"/>
          <w:szCs w:val="24"/>
          <w:shd w:val="clear" w:color="auto" w:fill="FFFFFF"/>
          <w:lang w:val="en-US"/>
        </w:rPr>
        <w:t xml:space="preserve"> gotovinski</w:t>
      </w:r>
      <w:r w:rsidR="00294E20">
        <w:rPr>
          <w:rFonts w:ascii="Times New Roman" w:eastAsia="Times New Roman" w:hAnsi="Times New Roman" w:cs="Times New Roman"/>
          <w:sz w:val="24"/>
          <w:szCs w:val="24"/>
          <w:shd w:val="clear" w:color="auto" w:fill="FFFFFF"/>
          <w:lang w:val="en-US"/>
        </w:rPr>
        <w:t>m</w:t>
      </w:r>
      <w:r w:rsidRPr="009131C4">
        <w:rPr>
          <w:rFonts w:ascii="Times New Roman" w:eastAsia="Times New Roman" w:hAnsi="Times New Roman" w:cs="Times New Roman"/>
          <w:sz w:val="24"/>
          <w:szCs w:val="24"/>
          <w:shd w:val="clear" w:color="auto" w:fill="FFFFFF"/>
          <w:lang w:val="en-US"/>
        </w:rPr>
        <w:t xml:space="preserve"> transakcija obzirom da su rezultati </w:t>
      </w:r>
      <w:r w:rsidR="003B2A4B">
        <w:rPr>
          <w:rFonts w:ascii="Times New Roman" w:eastAsia="Times New Roman" w:hAnsi="Times New Roman" w:cs="Times New Roman"/>
          <w:sz w:val="24"/>
          <w:szCs w:val="24"/>
          <w:shd w:val="clear" w:color="auto" w:fill="FFFFFF"/>
          <w:lang w:val="en-US"/>
        </w:rPr>
        <w:t xml:space="preserve">analiza </w:t>
      </w:r>
      <w:r w:rsidRPr="009131C4">
        <w:rPr>
          <w:rFonts w:ascii="Times New Roman" w:eastAsia="Times New Roman" w:hAnsi="Times New Roman" w:cs="Times New Roman"/>
          <w:sz w:val="24"/>
          <w:szCs w:val="24"/>
          <w:shd w:val="clear" w:color="auto" w:fill="FFFFFF"/>
          <w:lang w:val="en-US"/>
        </w:rPr>
        <w:t>ukazali da se radi o</w:t>
      </w:r>
      <w:r w:rsidR="003656CA">
        <w:rPr>
          <w:rFonts w:ascii="Times New Roman" w:eastAsia="Times New Roman" w:hAnsi="Times New Roman" w:cs="Times New Roman"/>
          <w:sz w:val="24"/>
          <w:szCs w:val="24"/>
          <w:shd w:val="clear" w:color="auto" w:fill="FFFFFF"/>
          <w:lang w:val="en-US"/>
        </w:rPr>
        <w:t xml:space="preserve"> </w:t>
      </w:r>
      <w:r w:rsidRPr="009131C4">
        <w:rPr>
          <w:rFonts w:ascii="Times New Roman" w:eastAsia="Times New Roman" w:hAnsi="Times New Roman" w:cs="Times New Roman"/>
          <w:sz w:val="24"/>
          <w:szCs w:val="24"/>
          <w:shd w:val="clear" w:color="auto" w:fill="FFFFFF"/>
          <w:lang w:val="en-US"/>
        </w:rPr>
        <w:t xml:space="preserve">transakcijama koje odstupaju od uobičajenih poslovnih transakcija i da iste upućuju na moguće pranje novca. Tako je analizom kojom su bile obuhvaćene gotovinske transakcije (koje su se odnosile na podizanja gotovine s računa pravnih osoba) utvrđeno da se s novotvorenih računa određenog broja pravnih osoba ubrzo nakon što su računi otvoreni učestalo podiže gotovina. </w:t>
      </w:r>
    </w:p>
    <w:p w14:paraId="71BDECA7" w14:textId="3BC06EEF" w:rsidR="00E201A5" w:rsidRDefault="00E201A5" w:rsidP="00E201A5">
      <w:pPr>
        <w:spacing w:after="0" w:line="240" w:lineRule="auto"/>
        <w:jc w:val="both"/>
        <w:rPr>
          <w:rFonts w:ascii="Times New Roman" w:eastAsia="Times New Roman" w:hAnsi="Times New Roman" w:cs="Times New Roman"/>
          <w:sz w:val="24"/>
          <w:szCs w:val="24"/>
          <w:shd w:val="clear" w:color="auto" w:fill="FFFFFF"/>
          <w:lang w:val="en-US"/>
        </w:rPr>
      </w:pPr>
    </w:p>
    <w:p w14:paraId="606CA3F5" w14:textId="2C0C3875" w:rsidR="008935FE" w:rsidRDefault="008935FE" w:rsidP="00E201A5">
      <w:pPr>
        <w:spacing w:after="0" w:line="240" w:lineRule="auto"/>
        <w:jc w:val="both"/>
        <w:rPr>
          <w:rFonts w:ascii="Times New Roman" w:eastAsia="Times New Roman" w:hAnsi="Times New Roman" w:cs="Times New Roman"/>
          <w:sz w:val="24"/>
          <w:szCs w:val="24"/>
          <w:shd w:val="clear" w:color="auto" w:fill="FFFFFF"/>
          <w:lang w:val="en-US"/>
        </w:rPr>
      </w:pPr>
    </w:p>
    <w:p w14:paraId="6BDEA4D6" w14:textId="14920A40" w:rsidR="008935FE" w:rsidRDefault="008935FE" w:rsidP="00E201A5">
      <w:pPr>
        <w:spacing w:after="0" w:line="240" w:lineRule="auto"/>
        <w:jc w:val="both"/>
        <w:rPr>
          <w:rFonts w:ascii="Times New Roman" w:eastAsia="Times New Roman" w:hAnsi="Times New Roman" w:cs="Times New Roman"/>
          <w:sz w:val="24"/>
          <w:szCs w:val="24"/>
          <w:shd w:val="clear" w:color="auto" w:fill="FFFFFF"/>
          <w:lang w:val="en-US"/>
        </w:rPr>
      </w:pPr>
    </w:p>
    <w:p w14:paraId="41A00620" w14:textId="77777777" w:rsidR="008935FE" w:rsidRPr="00026787" w:rsidRDefault="008935FE" w:rsidP="00E201A5">
      <w:pPr>
        <w:spacing w:after="0" w:line="240" w:lineRule="auto"/>
        <w:jc w:val="both"/>
        <w:rPr>
          <w:rFonts w:ascii="Times New Roman" w:eastAsia="Times New Roman" w:hAnsi="Times New Roman" w:cs="Times New Roman"/>
          <w:sz w:val="24"/>
          <w:szCs w:val="24"/>
          <w:shd w:val="clear" w:color="auto" w:fill="FFFFFF"/>
          <w:lang w:val="en-US"/>
        </w:rPr>
      </w:pPr>
    </w:p>
    <w:p w14:paraId="1E2CC485" w14:textId="2A9FF2C8" w:rsidR="00E201A5" w:rsidRPr="00072309" w:rsidRDefault="009E145B" w:rsidP="00E201A5">
      <w:pPr>
        <w:spacing w:after="0" w:line="240" w:lineRule="auto"/>
        <w:contextualSpacing/>
        <w:jc w:val="both"/>
        <w:rPr>
          <w:rFonts w:ascii="Times New Roman" w:eastAsia="Times New Roman" w:hAnsi="Times New Roman" w:cs="Times New Roman"/>
          <w:b/>
          <w:sz w:val="24"/>
          <w:szCs w:val="24"/>
          <w:shd w:val="clear" w:color="auto" w:fill="FFFFFF"/>
          <w:lang w:val="en-US"/>
        </w:rPr>
      </w:pPr>
      <w:r>
        <w:rPr>
          <w:rFonts w:ascii="Times New Roman" w:eastAsia="Times New Roman" w:hAnsi="Times New Roman" w:cs="Times New Roman"/>
          <w:b/>
          <w:sz w:val="24"/>
          <w:szCs w:val="24"/>
          <w:shd w:val="clear" w:color="auto" w:fill="FFFFFF"/>
          <w:lang w:val="en-US"/>
        </w:rPr>
        <w:lastRenderedPageBreak/>
        <w:t xml:space="preserve">3.3.1. </w:t>
      </w:r>
      <w:r w:rsidR="00E201A5" w:rsidRPr="00072309">
        <w:rPr>
          <w:rFonts w:ascii="Times New Roman" w:eastAsia="Times New Roman" w:hAnsi="Times New Roman" w:cs="Times New Roman"/>
          <w:b/>
          <w:sz w:val="24"/>
          <w:szCs w:val="24"/>
          <w:shd w:val="clear" w:color="auto" w:fill="FFFFFF"/>
          <w:lang w:val="en-US"/>
        </w:rPr>
        <w:t xml:space="preserve">Slučajevi pranja novca povezana s poreznom utajom </w:t>
      </w:r>
    </w:p>
    <w:p w14:paraId="367BF3EA" w14:textId="77777777" w:rsidR="00E201A5" w:rsidRPr="00026787" w:rsidRDefault="00E201A5" w:rsidP="00E201A5">
      <w:pPr>
        <w:spacing w:after="0" w:line="240" w:lineRule="auto"/>
        <w:jc w:val="both"/>
        <w:rPr>
          <w:rFonts w:ascii="Times New Roman" w:eastAsia="Times New Roman" w:hAnsi="Times New Roman" w:cs="Times New Roman"/>
          <w:b/>
          <w:sz w:val="24"/>
          <w:szCs w:val="24"/>
          <w:shd w:val="clear" w:color="auto" w:fill="FFFFFF"/>
          <w:lang w:val="en-US"/>
        </w:rPr>
      </w:pPr>
    </w:p>
    <w:p w14:paraId="4C492A6E" w14:textId="77777777" w:rsidR="00E201A5" w:rsidRPr="00026787" w:rsidRDefault="00E201A5" w:rsidP="00E201A5">
      <w:pPr>
        <w:spacing w:after="0" w:line="240" w:lineRule="auto"/>
        <w:jc w:val="both"/>
        <w:rPr>
          <w:rFonts w:ascii="Times New Roman" w:hAnsi="Times New Roman" w:cs="Times New Roman"/>
          <w:sz w:val="24"/>
          <w:szCs w:val="24"/>
        </w:rPr>
      </w:pPr>
      <w:r w:rsidRPr="00026787">
        <w:rPr>
          <w:rFonts w:ascii="Times New Roman" w:hAnsi="Times New Roman" w:cs="Times New Roman"/>
          <w:sz w:val="24"/>
          <w:szCs w:val="24"/>
        </w:rPr>
        <w:t xml:space="preserve">U slučajevima koje je Ured analizirao i za koje je ocjenjeno da postoji sumnja na utaju poreza utvrđeno je da se najčešće radilo o zlouporabi fiktivnih tvrtki koje su isključivo služile za izvlačenje gotovine. Slučajevi ukazuju na slijedeće pojavne oblike pranja novca: </w:t>
      </w:r>
    </w:p>
    <w:p w14:paraId="2DED904F" w14:textId="77777777" w:rsidR="00E201A5" w:rsidRPr="00026787" w:rsidRDefault="00E201A5" w:rsidP="00E201A5">
      <w:pPr>
        <w:spacing w:after="0" w:line="240" w:lineRule="auto"/>
        <w:jc w:val="both"/>
        <w:rPr>
          <w:rFonts w:ascii="Times New Roman" w:hAnsi="Times New Roman" w:cs="Times New Roman"/>
          <w:sz w:val="24"/>
          <w:szCs w:val="24"/>
        </w:rPr>
      </w:pPr>
    </w:p>
    <w:p w14:paraId="0DC5F215" w14:textId="77777777" w:rsidR="00E201A5" w:rsidRPr="00026787" w:rsidRDefault="00E201A5" w:rsidP="00BD4933">
      <w:pPr>
        <w:numPr>
          <w:ilvl w:val="0"/>
          <w:numId w:val="15"/>
        </w:numPr>
        <w:spacing w:after="0" w:line="240" w:lineRule="auto"/>
        <w:contextualSpacing/>
        <w:jc w:val="both"/>
        <w:rPr>
          <w:rFonts w:ascii="Times New Roman" w:hAnsi="Times New Roman" w:cs="Times New Roman"/>
          <w:sz w:val="24"/>
          <w:szCs w:val="24"/>
        </w:rPr>
      </w:pPr>
      <w:r w:rsidRPr="00026787">
        <w:rPr>
          <w:rFonts w:ascii="Times New Roman" w:hAnsi="Times New Roman" w:cs="Times New Roman"/>
          <w:sz w:val="24"/>
          <w:szCs w:val="24"/>
        </w:rPr>
        <w:t>U lancu izvlačenja gotovine uključeno je više fiktivnih tvrtki kako bi se između njih obavljale transakcije na temelju lažnih dokumenata i računa te stvorio privid da se radi o legalnim poslovima a sve u cilju izbjegavanja plaćanja poreza i/ili ostvarivanja neutemeljenog povrata poreza (PDV)</w:t>
      </w:r>
    </w:p>
    <w:p w14:paraId="7DE4B8C3" w14:textId="77777777" w:rsidR="00E201A5" w:rsidRPr="00026787" w:rsidRDefault="00E201A5" w:rsidP="00BD4933">
      <w:pPr>
        <w:numPr>
          <w:ilvl w:val="0"/>
          <w:numId w:val="15"/>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Fiktivnim</w:t>
      </w:r>
      <w:r w:rsidRPr="00026787">
        <w:rPr>
          <w:rFonts w:ascii="Times New Roman" w:hAnsi="Times New Roman" w:cs="Times New Roman"/>
          <w:sz w:val="24"/>
          <w:szCs w:val="24"/>
        </w:rPr>
        <w:t xml:space="preserve"> tvrtkama često upravljaju pojedinci ili u nekim slučajevima organizirane kriminalne skupine koje ih i za te svrhe osnivaju i određuju i kontroliraju njihove osnivače/ direktore </w:t>
      </w:r>
    </w:p>
    <w:p w14:paraId="4A910654" w14:textId="77777777" w:rsidR="00E201A5" w:rsidRPr="00026787" w:rsidRDefault="00E201A5" w:rsidP="00BD4933">
      <w:pPr>
        <w:numPr>
          <w:ilvl w:val="0"/>
          <w:numId w:val="15"/>
        </w:numPr>
        <w:spacing w:after="0" w:line="240" w:lineRule="auto"/>
        <w:contextualSpacing/>
        <w:jc w:val="both"/>
        <w:rPr>
          <w:rFonts w:ascii="Times New Roman" w:hAnsi="Times New Roman" w:cs="Times New Roman"/>
          <w:sz w:val="24"/>
          <w:szCs w:val="24"/>
        </w:rPr>
      </w:pPr>
      <w:r w:rsidRPr="00026787">
        <w:rPr>
          <w:rFonts w:ascii="Times New Roman" w:hAnsi="Times New Roman" w:cs="Times New Roman"/>
          <w:sz w:val="24"/>
          <w:szCs w:val="24"/>
        </w:rPr>
        <w:t>Direktori/vlasnici fiktivnih tvrtki su često osobe starije životne dobi, strane osobe te osobe evidentirane u kaznenim evidencija kao počinitelji kaznenih djela iz domene organiziranog kriminaliteta te kriminaliteta droge</w:t>
      </w:r>
    </w:p>
    <w:p w14:paraId="38AC972A" w14:textId="77777777" w:rsidR="00E201A5" w:rsidRPr="00026787" w:rsidRDefault="00E201A5" w:rsidP="00BD4933">
      <w:pPr>
        <w:numPr>
          <w:ilvl w:val="0"/>
          <w:numId w:val="15"/>
        </w:numPr>
        <w:spacing w:after="0" w:line="240" w:lineRule="auto"/>
        <w:contextualSpacing/>
        <w:jc w:val="both"/>
        <w:rPr>
          <w:rFonts w:ascii="Times New Roman" w:hAnsi="Times New Roman" w:cs="Times New Roman"/>
          <w:sz w:val="24"/>
          <w:szCs w:val="24"/>
        </w:rPr>
      </w:pPr>
      <w:r w:rsidRPr="00026787">
        <w:rPr>
          <w:rFonts w:ascii="Times New Roman" w:hAnsi="Times New Roman" w:cs="Times New Roman"/>
          <w:sz w:val="24"/>
          <w:szCs w:val="24"/>
        </w:rPr>
        <w:t>Tvrtke nemaju zaposlene</w:t>
      </w:r>
    </w:p>
    <w:p w14:paraId="502FE725" w14:textId="77777777" w:rsidR="00E201A5" w:rsidRPr="00026787" w:rsidRDefault="00E201A5" w:rsidP="00BD4933">
      <w:pPr>
        <w:numPr>
          <w:ilvl w:val="0"/>
          <w:numId w:val="15"/>
        </w:numPr>
        <w:spacing w:after="0" w:line="240" w:lineRule="auto"/>
        <w:contextualSpacing/>
        <w:jc w:val="both"/>
        <w:rPr>
          <w:rFonts w:ascii="Times New Roman" w:hAnsi="Times New Roman" w:cs="Times New Roman"/>
          <w:sz w:val="24"/>
          <w:szCs w:val="24"/>
        </w:rPr>
      </w:pPr>
      <w:r w:rsidRPr="00026787">
        <w:rPr>
          <w:rFonts w:ascii="Times New Roman" w:hAnsi="Times New Roman" w:cs="Times New Roman"/>
          <w:sz w:val="24"/>
          <w:szCs w:val="24"/>
        </w:rPr>
        <w:t>Preko računa fiktivnih tvrtki nema uobičajenih plaćanja (porezi, režijski troškovi i dr.) već se preko istih obavljaju milijunske transakcije u svrhu plaćanja fiktivno stvorenih obveza (na temelju lažnih dokumenata i računa)</w:t>
      </w:r>
    </w:p>
    <w:p w14:paraId="58C35BD1" w14:textId="77777777" w:rsidR="00E201A5" w:rsidRPr="00026787" w:rsidRDefault="00E201A5" w:rsidP="00BD4933">
      <w:pPr>
        <w:numPr>
          <w:ilvl w:val="0"/>
          <w:numId w:val="15"/>
        </w:numPr>
        <w:spacing w:after="0" w:line="240" w:lineRule="auto"/>
        <w:contextualSpacing/>
        <w:jc w:val="both"/>
        <w:rPr>
          <w:rFonts w:ascii="Times New Roman" w:hAnsi="Times New Roman" w:cs="Times New Roman"/>
          <w:sz w:val="24"/>
          <w:szCs w:val="24"/>
        </w:rPr>
      </w:pPr>
      <w:r w:rsidRPr="00026787">
        <w:rPr>
          <w:rFonts w:ascii="Times New Roman" w:hAnsi="Times New Roman" w:cs="Times New Roman"/>
          <w:sz w:val="24"/>
          <w:szCs w:val="24"/>
        </w:rPr>
        <w:t>Sredstva sa računa tvrtki podižu se u gotovini ili se transferiraju na račune fizičkih osoba (direktora) koja ih odmah po uplati podižu u gotovini</w:t>
      </w:r>
    </w:p>
    <w:p w14:paraId="59A657E9" w14:textId="77777777" w:rsidR="00E201A5" w:rsidRPr="00026787" w:rsidRDefault="00E201A5" w:rsidP="00BD4933">
      <w:pPr>
        <w:numPr>
          <w:ilvl w:val="0"/>
          <w:numId w:val="15"/>
        </w:numPr>
        <w:spacing w:after="0" w:line="240" w:lineRule="auto"/>
        <w:jc w:val="both"/>
        <w:rPr>
          <w:rFonts w:ascii="Times New Roman" w:eastAsia="Calibri" w:hAnsi="Times New Roman" w:cs="Times New Roman"/>
          <w:strike/>
          <w:sz w:val="24"/>
          <w:szCs w:val="24"/>
        </w:rPr>
      </w:pPr>
      <w:r w:rsidRPr="00026787">
        <w:rPr>
          <w:rFonts w:ascii="Times New Roman" w:eastAsia="Calibri" w:hAnsi="Times New Roman" w:cs="Times New Roman"/>
          <w:sz w:val="24"/>
          <w:szCs w:val="24"/>
        </w:rPr>
        <w:t>Isplate s računa tvrtki u gotovini se strukturiraju na manje iznose kako bi se izbjegla obveza obavještavanja Ureda o gotovinskim transakcijama. Tijekom jednog dana ili nekoliko uzastopnih dana podiže se gotovina s računa tvrtki u više navrata (transakcija) a čija je ukupna vrijednost znatna</w:t>
      </w:r>
    </w:p>
    <w:p w14:paraId="5D877091" w14:textId="77777777" w:rsidR="00E201A5" w:rsidRPr="00026787" w:rsidRDefault="00E201A5" w:rsidP="00BD4933">
      <w:pPr>
        <w:numPr>
          <w:ilvl w:val="0"/>
          <w:numId w:val="15"/>
        </w:numPr>
        <w:spacing w:after="0" w:line="240" w:lineRule="auto"/>
        <w:contextualSpacing/>
        <w:jc w:val="both"/>
        <w:rPr>
          <w:rFonts w:ascii="Times New Roman" w:hAnsi="Times New Roman" w:cs="Times New Roman"/>
          <w:sz w:val="24"/>
          <w:szCs w:val="24"/>
        </w:rPr>
      </w:pPr>
      <w:r w:rsidRPr="00026787">
        <w:rPr>
          <w:rFonts w:ascii="Times New Roman" w:hAnsi="Times New Roman" w:cs="Times New Roman"/>
          <w:sz w:val="24"/>
          <w:szCs w:val="24"/>
        </w:rPr>
        <w:t>Nakon određenog perioda (nakon obavljenih isplata gotovina) više se ne koriste iste fiktivne tvrtke (u stanju mirovanja su ili se „gase“) a nezakonite aktivnosti nastavljaju se putem novih fiktivnih tvrtki ili preuzimanjem drugih neaktivnih tvrtki</w:t>
      </w:r>
    </w:p>
    <w:p w14:paraId="2FF64C3C" w14:textId="77777777" w:rsidR="00E201A5" w:rsidRPr="00026787" w:rsidRDefault="00E201A5" w:rsidP="00BD4933">
      <w:pPr>
        <w:numPr>
          <w:ilvl w:val="0"/>
          <w:numId w:val="15"/>
        </w:numPr>
        <w:spacing w:after="0" w:line="240" w:lineRule="auto"/>
        <w:contextualSpacing/>
        <w:jc w:val="both"/>
        <w:rPr>
          <w:rFonts w:ascii="Times New Roman" w:hAnsi="Times New Roman" w:cs="Times New Roman"/>
          <w:strike/>
          <w:sz w:val="24"/>
          <w:szCs w:val="24"/>
        </w:rPr>
      </w:pPr>
      <w:r w:rsidRPr="00026787">
        <w:rPr>
          <w:rFonts w:ascii="Times New Roman" w:hAnsi="Times New Roman" w:cs="Times New Roman"/>
          <w:sz w:val="24"/>
          <w:szCs w:val="24"/>
        </w:rPr>
        <w:t xml:space="preserve">Fiktivne </w:t>
      </w:r>
      <w:r w:rsidRPr="00026787">
        <w:rPr>
          <w:rFonts w:ascii="Times New Roman" w:eastAsia="Times New Roman" w:hAnsi="Times New Roman" w:cs="Times New Roman"/>
          <w:color w:val="000000"/>
          <w:sz w:val="24"/>
          <w:szCs w:val="24"/>
          <w:lang w:eastAsia="hr-HR"/>
        </w:rPr>
        <w:t>tvrtke prema djelatnostima za koje su registrirane pokazuju da su često iste registrirane za otkup sekundarnih s</w:t>
      </w:r>
      <w:r>
        <w:rPr>
          <w:rFonts w:ascii="Times New Roman" w:eastAsia="Times New Roman" w:hAnsi="Times New Roman" w:cs="Times New Roman"/>
          <w:color w:val="000000"/>
          <w:sz w:val="24"/>
          <w:szCs w:val="24"/>
          <w:lang w:eastAsia="hr-HR"/>
        </w:rPr>
        <w:t>irovina.</w:t>
      </w:r>
    </w:p>
    <w:p w14:paraId="2803F711" w14:textId="77777777" w:rsidR="00E201A5" w:rsidRPr="00B90180" w:rsidRDefault="00E201A5" w:rsidP="00E201A5">
      <w:pPr>
        <w:spacing w:after="0" w:line="240" w:lineRule="auto"/>
        <w:jc w:val="both"/>
        <w:rPr>
          <w:rFonts w:ascii="Times New Roman" w:hAnsi="Times New Roman" w:cs="Times New Roman"/>
          <w:sz w:val="24"/>
          <w:szCs w:val="24"/>
        </w:rPr>
      </w:pPr>
      <w:r w:rsidRPr="00B90180">
        <w:rPr>
          <w:rFonts w:ascii="Times New Roman" w:hAnsi="Times New Roman" w:cs="Times New Roman"/>
          <w:sz w:val="24"/>
          <w:szCs w:val="24"/>
        </w:rPr>
        <w:t>Obzirom da se u navedenim slučajevima radilo o nezakonitom izvlačenju gotovine u milijunskim iznosima te da su neki direktori fiktivnih tvrtki preko čijih računa su se obavljale višemilijunske transakcije koje su prethodile podizanju gotovine evidentirani za kaznena djela iz domene kriminaliteta droge nije za isključit da se računi fiktivnih tvrtki istovremeno koriste i za pranje novca koji je stečen neovlaštenom proizvodnjom i prometom drogom odnosno da transakcije koje se obavljanju preko njihovih računa u svrhu plaćanja fiktivno stvorenih obveza uključuju djelomično i sredstva koja su proistekla iz trgovine drogom.</w:t>
      </w:r>
    </w:p>
    <w:p w14:paraId="3B2A0178" w14:textId="77777777" w:rsidR="00E201A5" w:rsidRPr="00B90180" w:rsidRDefault="00E201A5" w:rsidP="00E201A5">
      <w:pPr>
        <w:spacing w:after="0" w:line="240" w:lineRule="auto"/>
        <w:jc w:val="both"/>
        <w:rPr>
          <w:rFonts w:ascii="Times New Roman" w:hAnsi="Times New Roman" w:cs="Times New Roman"/>
          <w:sz w:val="24"/>
          <w:szCs w:val="24"/>
        </w:rPr>
      </w:pPr>
    </w:p>
    <w:p w14:paraId="55873E92" w14:textId="77777777" w:rsidR="00E201A5" w:rsidRPr="00026787" w:rsidRDefault="00E201A5" w:rsidP="00294E20">
      <w:pPr>
        <w:spacing w:after="0" w:line="240" w:lineRule="auto"/>
        <w:contextualSpacing/>
        <w:jc w:val="both"/>
        <w:rPr>
          <w:rFonts w:ascii="Times New Roman" w:hAnsi="Times New Roman" w:cs="Times New Roman"/>
          <w:sz w:val="24"/>
          <w:szCs w:val="24"/>
        </w:rPr>
      </w:pPr>
    </w:p>
    <w:p w14:paraId="4078490C" w14:textId="7F2D976A" w:rsidR="00E201A5" w:rsidRPr="00072309" w:rsidRDefault="009E145B" w:rsidP="00E201A5">
      <w:pPr>
        <w:spacing w:after="0" w:line="240" w:lineRule="auto"/>
        <w:jc w:val="both"/>
        <w:rPr>
          <w:rFonts w:ascii="Times New Roman" w:eastAsia="Times New Roman" w:hAnsi="Times New Roman" w:cs="Times New Roman"/>
          <w:b/>
          <w:sz w:val="24"/>
          <w:szCs w:val="24"/>
          <w:shd w:val="clear" w:color="auto" w:fill="FFFFFF"/>
          <w:lang w:val="en-US"/>
        </w:rPr>
      </w:pPr>
      <w:r>
        <w:rPr>
          <w:rFonts w:ascii="Times New Roman" w:eastAsia="Times New Roman" w:hAnsi="Times New Roman" w:cs="Times New Roman"/>
          <w:b/>
          <w:sz w:val="24"/>
          <w:szCs w:val="24"/>
          <w:shd w:val="clear" w:color="auto" w:fill="FFFFFF"/>
          <w:lang w:val="en-US"/>
        </w:rPr>
        <w:t xml:space="preserve">3.3.2. </w:t>
      </w:r>
      <w:r w:rsidR="00E201A5" w:rsidRPr="00072309">
        <w:rPr>
          <w:rFonts w:ascii="Times New Roman" w:eastAsia="Times New Roman" w:hAnsi="Times New Roman" w:cs="Times New Roman"/>
          <w:b/>
          <w:sz w:val="24"/>
          <w:szCs w:val="24"/>
          <w:shd w:val="clear" w:color="auto" w:fill="FFFFFF"/>
          <w:lang w:val="en-US"/>
        </w:rPr>
        <w:t xml:space="preserve">Slučajevi pranja novca povezana s </w:t>
      </w:r>
      <w:r w:rsidR="00E201A5" w:rsidRPr="00072309">
        <w:rPr>
          <w:rFonts w:ascii="Times New Roman" w:hAnsi="Times New Roman" w:cs="Times New Roman"/>
          <w:b/>
          <w:sz w:val="24"/>
          <w:szCs w:val="24"/>
        </w:rPr>
        <w:t>koruptivnim kaznenim djelima</w:t>
      </w:r>
    </w:p>
    <w:p w14:paraId="61971B50" w14:textId="77777777" w:rsidR="00E201A5" w:rsidRPr="00026787" w:rsidRDefault="00E201A5" w:rsidP="00E201A5">
      <w:pPr>
        <w:spacing w:after="0" w:line="240" w:lineRule="auto"/>
        <w:jc w:val="both"/>
        <w:rPr>
          <w:rFonts w:ascii="Times New Roman" w:eastAsia="Times New Roman" w:hAnsi="Times New Roman" w:cs="Times New Roman"/>
          <w:b/>
          <w:sz w:val="24"/>
          <w:szCs w:val="24"/>
          <w:shd w:val="clear" w:color="auto" w:fill="FFFFFF"/>
          <w:lang w:val="en-US"/>
        </w:rPr>
      </w:pPr>
    </w:p>
    <w:p w14:paraId="7CFFB09D" w14:textId="77777777" w:rsidR="00E201A5" w:rsidRPr="00026787" w:rsidRDefault="00E201A5" w:rsidP="00E201A5">
      <w:pPr>
        <w:spacing w:after="0" w:line="240" w:lineRule="auto"/>
        <w:jc w:val="both"/>
        <w:rPr>
          <w:rFonts w:ascii="Times New Roman" w:hAnsi="Times New Roman" w:cs="Times New Roman"/>
          <w:sz w:val="24"/>
          <w:szCs w:val="24"/>
        </w:rPr>
      </w:pPr>
      <w:r w:rsidRPr="00026787">
        <w:rPr>
          <w:rFonts w:ascii="Times New Roman" w:hAnsi="Times New Roman" w:cs="Times New Roman"/>
          <w:sz w:val="24"/>
          <w:szCs w:val="24"/>
        </w:rPr>
        <w:t xml:space="preserve">U slučajevima koje je Ured analizirao i za koje je ocjenjeno da postoji sumnja na koruptivna kaznena djela utvrđeno je da se najčešće radilo o sumnji na </w:t>
      </w:r>
      <w:r w:rsidR="00B26D46">
        <w:rPr>
          <w:rFonts w:ascii="Times New Roman" w:hAnsi="Times New Roman" w:cs="Times New Roman"/>
          <w:sz w:val="24"/>
          <w:szCs w:val="24"/>
        </w:rPr>
        <w:t xml:space="preserve">moguća koruptivna kaznena djela povezana </w:t>
      </w:r>
      <w:r w:rsidRPr="00026787">
        <w:rPr>
          <w:rFonts w:ascii="Times New Roman" w:hAnsi="Times New Roman" w:cs="Times New Roman"/>
          <w:sz w:val="24"/>
          <w:szCs w:val="24"/>
        </w:rPr>
        <w:t xml:space="preserve">uz procese javne nabave obzirom da su analitičkim obradama bile obuhvaćene sumnjive transakcije isplata gotovine s računa tvrtki koje su poslovale s tvrtkama u vlasništvu države i/ili grada. Slučajevi ukazuju na slijedeće pojavne oblike: </w:t>
      </w:r>
    </w:p>
    <w:p w14:paraId="78276E18" w14:textId="77777777" w:rsidR="00E201A5" w:rsidRPr="00026787" w:rsidRDefault="00E201A5" w:rsidP="00BD4933">
      <w:pPr>
        <w:numPr>
          <w:ilvl w:val="0"/>
          <w:numId w:val="14"/>
        </w:numPr>
        <w:spacing w:after="0" w:line="240" w:lineRule="auto"/>
        <w:contextualSpacing/>
        <w:jc w:val="both"/>
        <w:rPr>
          <w:rFonts w:ascii="Times New Roman" w:hAnsi="Times New Roman" w:cs="Times New Roman"/>
          <w:sz w:val="24"/>
          <w:szCs w:val="24"/>
        </w:rPr>
      </w:pPr>
      <w:r w:rsidRPr="00026787">
        <w:rPr>
          <w:rFonts w:ascii="Times New Roman" w:hAnsi="Times New Roman" w:cs="Times New Roman"/>
          <w:sz w:val="24"/>
          <w:szCs w:val="24"/>
        </w:rPr>
        <w:t>Nagli porast prometa te dobit tvrtki koje su uključene direktno ili posredstvom druge/ih tvrtke/i u poslovima s tvrtkama u vlasništvu države/grada;</w:t>
      </w:r>
    </w:p>
    <w:p w14:paraId="1BB780B0" w14:textId="77777777" w:rsidR="00E201A5" w:rsidRPr="00026787" w:rsidRDefault="00E201A5" w:rsidP="00BD4933">
      <w:pPr>
        <w:numPr>
          <w:ilvl w:val="0"/>
          <w:numId w:val="14"/>
        </w:numPr>
        <w:spacing w:after="0" w:line="240" w:lineRule="auto"/>
        <w:contextualSpacing/>
        <w:jc w:val="both"/>
        <w:rPr>
          <w:rFonts w:ascii="Times New Roman" w:hAnsi="Times New Roman" w:cs="Times New Roman"/>
          <w:sz w:val="24"/>
          <w:szCs w:val="24"/>
        </w:rPr>
      </w:pPr>
      <w:r w:rsidRPr="00026787">
        <w:rPr>
          <w:rFonts w:ascii="Times New Roman" w:hAnsi="Times New Roman" w:cs="Times New Roman"/>
          <w:sz w:val="24"/>
          <w:szCs w:val="24"/>
        </w:rPr>
        <w:t>Ostvarena dobit isplaćuje se vlasnicima tvrtki;</w:t>
      </w:r>
    </w:p>
    <w:p w14:paraId="69D09E0D" w14:textId="77777777" w:rsidR="00E201A5" w:rsidRPr="00026787" w:rsidRDefault="00E201A5" w:rsidP="00BD4933">
      <w:pPr>
        <w:numPr>
          <w:ilvl w:val="0"/>
          <w:numId w:val="14"/>
        </w:numPr>
        <w:spacing w:after="0" w:line="240" w:lineRule="auto"/>
        <w:contextualSpacing/>
        <w:jc w:val="both"/>
        <w:rPr>
          <w:rFonts w:ascii="Times New Roman" w:hAnsi="Times New Roman" w:cs="Times New Roman"/>
          <w:sz w:val="24"/>
          <w:szCs w:val="24"/>
        </w:rPr>
      </w:pPr>
      <w:r w:rsidRPr="00026787">
        <w:rPr>
          <w:rFonts w:ascii="Times New Roman" w:hAnsi="Times New Roman" w:cs="Times New Roman"/>
          <w:sz w:val="24"/>
          <w:szCs w:val="24"/>
        </w:rPr>
        <w:lastRenderedPageBreak/>
        <w:t>Vlasnici isplaćenu dobit podižu u gotovini;</w:t>
      </w:r>
    </w:p>
    <w:p w14:paraId="034C48D2" w14:textId="77777777" w:rsidR="00E201A5" w:rsidRPr="00026787" w:rsidRDefault="00E201A5" w:rsidP="00BD4933">
      <w:pPr>
        <w:numPr>
          <w:ilvl w:val="0"/>
          <w:numId w:val="14"/>
        </w:numPr>
        <w:spacing w:after="0" w:line="240" w:lineRule="auto"/>
        <w:contextualSpacing/>
        <w:jc w:val="both"/>
        <w:rPr>
          <w:rFonts w:ascii="Times New Roman" w:hAnsi="Times New Roman" w:cs="Times New Roman"/>
          <w:sz w:val="24"/>
          <w:szCs w:val="24"/>
        </w:rPr>
      </w:pPr>
      <w:r w:rsidRPr="00026787">
        <w:rPr>
          <w:rFonts w:ascii="Times New Roman" w:hAnsi="Times New Roman" w:cs="Times New Roman"/>
          <w:sz w:val="24"/>
          <w:szCs w:val="24"/>
        </w:rPr>
        <w:t>Podizanje gotovine jednokratno (radi se o višemilijunskim iznosima), ili u manjim iznosima kroz više transakcija;</w:t>
      </w:r>
    </w:p>
    <w:p w14:paraId="271D6978" w14:textId="199CEF3C" w:rsidR="00E201A5" w:rsidRPr="00026787" w:rsidRDefault="00E201A5" w:rsidP="00BD4933">
      <w:pPr>
        <w:numPr>
          <w:ilvl w:val="0"/>
          <w:numId w:val="14"/>
        </w:numPr>
        <w:spacing w:after="0" w:line="240" w:lineRule="auto"/>
        <w:contextualSpacing/>
        <w:jc w:val="both"/>
        <w:rPr>
          <w:rFonts w:ascii="Times New Roman" w:hAnsi="Times New Roman" w:cs="Times New Roman"/>
          <w:sz w:val="24"/>
          <w:szCs w:val="24"/>
        </w:rPr>
      </w:pPr>
      <w:r w:rsidRPr="00026787">
        <w:rPr>
          <w:rFonts w:ascii="Times New Roman" w:hAnsi="Times New Roman" w:cs="Times New Roman"/>
          <w:sz w:val="24"/>
          <w:szCs w:val="24"/>
        </w:rPr>
        <w:t xml:space="preserve">Odgovorne osobe i/ili vlasnici tvrtki koje posredstvom drugih tvrtki posluju s društvima u vlasništvu </w:t>
      </w:r>
      <w:r w:rsidR="00B90180">
        <w:rPr>
          <w:rFonts w:ascii="Times New Roman" w:hAnsi="Times New Roman" w:cs="Times New Roman"/>
          <w:sz w:val="24"/>
          <w:szCs w:val="24"/>
        </w:rPr>
        <w:t>jedinica lokalne i područne samouprave ili države, odnosno</w:t>
      </w:r>
      <w:r w:rsidRPr="00026787">
        <w:rPr>
          <w:rFonts w:ascii="Times New Roman" w:hAnsi="Times New Roman" w:cs="Times New Roman"/>
          <w:sz w:val="24"/>
          <w:szCs w:val="24"/>
        </w:rPr>
        <w:t xml:space="preserve"> su rodbinski povezane osobe s osoba</w:t>
      </w:r>
      <w:r w:rsidR="00B90180">
        <w:rPr>
          <w:rFonts w:ascii="Times New Roman" w:hAnsi="Times New Roman" w:cs="Times New Roman"/>
          <w:sz w:val="24"/>
          <w:szCs w:val="24"/>
        </w:rPr>
        <w:t>ma koje obavljaju javnu dužnost;</w:t>
      </w:r>
    </w:p>
    <w:p w14:paraId="0AFD1FF8" w14:textId="77777777" w:rsidR="00B8517F" w:rsidRDefault="00B8517F" w:rsidP="00E201A5">
      <w:pPr>
        <w:spacing w:after="0" w:line="240" w:lineRule="auto"/>
        <w:jc w:val="both"/>
        <w:rPr>
          <w:rFonts w:ascii="Times New Roman" w:hAnsi="Times New Roman" w:cs="Times New Roman"/>
          <w:sz w:val="24"/>
          <w:szCs w:val="24"/>
        </w:rPr>
      </w:pPr>
    </w:p>
    <w:p w14:paraId="2BC0146F" w14:textId="77777777" w:rsidR="00E201A5" w:rsidRPr="00026787" w:rsidRDefault="00B8517F" w:rsidP="00E20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201A5" w:rsidRPr="00026787">
        <w:rPr>
          <w:rFonts w:ascii="Times New Roman" w:hAnsi="Times New Roman" w:cs="Times New Roman"/>
          <w:sz w:val="24"/>
          <w:szCs w:val="24"/>
        </w:rPr>
        <w:t>nalitičke obrade sumnjivih transakcija koje su se obavljale po računima ostalih tvrtki za koje je ocijenjeno da postoji sumnja na koruptivna kaznena djela (zlouporaba položaja i ovlasti</w:t>
      </w:r>
      <w:r w:rsidR="00E201A5">
        <w:rPr>
          <w:rFonts w:ascii="Times New Roman" w:hAnsi="Times New Roman" w:cs="Times New Roman"/>
          <w:sz w:val="24"/>
          <w:szCs w:val="24"/>
        </w:rPr>
        <w:t xml:space="preserve">, zlouporaba povjerenja u gospodarskom poslovanju </w:t>
      </w:r>
      <w:r w:rsidR="00E201A5" w:rsidRPr="00026787">
        <w:rPr>
          <w:rFonts w:ascii="Times New Roman" w:hAnsi="Times New Roman" w:cs="Times New Roman"/>
          <w:sz w:val="24"/>
          <w:szCs w:val="24"/>
        </w:rPr>
        <w:t xml:space="preserve">) ukazuju na slijedeće pojavne oblike: </w:t>
      </w:r>
    </w:p>
    <w:p w14:paraId="02DCA7AA" w14:textId="6638DA59" w:rsidR="00E201A5" w:rsidRPr="00026787" w:rsidRDefault="00E201A5" w:rsidP="00BD4933">
      <w:pPr>
        <w:numPr>
          <w:ilvl w:val="0"/>
          <w:numId w:val="16"/>
        </w:numPr>
        <w:spacing w:after="0" w:line="240" w:lineRule="auto"/>
        <w:contextualSpacing/>
        <w:jc w:val="both"/>
        <w:rPr>
          <w:rFonts w:ascii="Times New Roman" w:hAnsi="Times New Roman" w:cs="Times New Roman"/>
          <w:sz w:val="24"/>
          <w:szCs w:val="24"/>
        </w:rPr>
      </w:pPr>
      <w:r w:rsidRPr="00026787">
        <w:rPr>
          <w:rFonts w:ascii="Times New Roman" w:hAnsi="Times New Roman" w:cs="Times New Roman"/>
          <w:sz w:val="24"/>
          <w:szCs w:val="24"/>
        </w:rPr>
        <w:t xml:space="preserve">Isplata pozajmica direktorima koje </w:t>
      </w:r>
      <w:r w:rsidR="00294E20">
        <w:rPr>
          <w:rFonts w:ascii="Times New Roman" w:hAnsi="Times New Roman" w:cs="Times New Roman"/>
          <w:sz w:val="24"/>
          <w:szCs w:val="24"/>
        </w:rPr>
        <w:t xml:space="preserve">pozajmice </w:t>
      </w:r>
      <w:r w:rsidRPr="00026787">
        <w:rPr>
          <w:rFonts w:ascii="Times New Roman" w:hAnsi="Times New Roman" w:cs="Times New Roman"/>
          <w:sz w:val="24"/>
          <w:szCs w:val="24"/>
        </w:rPr>
        <w:t xml:space="preserve">isti ne vraćaju; </w:t>
      </w:r>
    </w:p>
    <w:p w14:paraId="6618E738" w14:textId="77777777" w:rsidR="00E201A5" w:rsidRPr="00026787" w:rsidRDefault="00E201A5" w:rsidP="00BD4933">
      <w:pPr>
        <w:numPr>
          <w:ilvl w:val="0"/>
          <w:numId w:val="16"/>
        </w:numPr>
        <w:spacing w:after="0" w:line="240" w:lineRule="auto"/>
        <w:contextualSpacing/>
        <w:jc w:val="both"/>
        <w:rPr>
          <w:rFonts w:ascii="Times New Roman" w:hAnsi="Times New Roman" w:cs="Times New Roman"/>
          <w:sz w:val="24"/>
          <w:szCs w:val="24"/>
        </w:rPr>
      </w:pPr>
      <w:r w:rsidRPr="00026787">
        <w:rPr>
          <w:rFonts w:ascii="Times New Roman" w:hAnsi="Times New Roman" w:cs="Times New Roman"/>
          <w:sz w:val="24"/>
          <w:szCs w:val="24"/>
        </w:rPr>
        <w:t>Isplata gotovine s računa tvrtke za materijalne troškove koji nisu ni postojali;</w:t>
      </w:r>
    </w:p>
    <w:p w14:paraId="646B2D9B" w14:textId="77777777" w:rsidR="00E201A5" w:rsidRPr="00026787" w:rsidRDefault="00E201A5" w:rsidP="00BD4933">
      <w:pPr>
        <w:numPr>
          <w:ilvl w:val="0"/>
          <w:numId w:val="16"/>
        </w:numPr>
        <w:spacing w:after="0" w:line="240" w:lineRule="auto"/>
        <w:contextualSpacing/>
        <w:jc w:val="both"/>
        <w:rPr>
          <w:rFonts w:ascii="Times New Roman" w:hAnsi="Times New Roman" w:cs="Times New Roman"/>
          <w:sz w:val="24"/>
          <w:szCs w:val="24"/>
        </w:rPr>
      </w:pPr>
      <w:r w:rsidRPr="00026787">
        <w:rPr>
          <w:rFonts w:ascii="Times New Roman" w:hAnsi="Times New Roman" w:cs="Times New Roman"/>
          <w:sz w:val="24"/>
          <w:szCs w:val="24"/>
        </w:rPr>
        <w:t>Izdavanje račune za fiktivne poslove i sklapanje ugovora bez pravne osnove na temelju kojih se obavljaju neutemeljene isplate.</w:t>
      </w:r>
    </w:p>
    <w:p w14:paraId="5E1D759F" w14:textId="77777777" w:rsidR="00E201A5" w:rsidRPr="00026787" w:rsidRDefault="00E201A5" w:rsidP="00E201A5">
      <w:pPr>
        <w:spacing w:after="0" w:line="240" w:lineRule="auto"/>
        <w:jc w:val="both"/>
        <w:rPr>
          <w:rFonts w:ascii="Times New Roman" w:hAnsi="Times New Roman" w:cs="Times New Roman"/>
          <w:sz w:val="24"/>
          <w:szCs w:val="24"/>
        </w:rPr>
      </w:pPr>
    </w:p>
    <w:p w14:paraId="2B3639FE" w14:textId="473C1012" w:rsidR="00E201A5" w:rsidRPr="003A2FC2" w:rsidRDefault="009E145B" w:rsidP="00E201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3.3.3. </w:t>
      </w:r>
      <w:r w:rsidR="00E201A5" w:rsidRPr="003A2FC2">
        <w:rPr>
          <w:rFonts w:ascii="Times New Roman" w:hAnsi="Times New Roman" w:cs="Times New Roman"/>
          <w:b/>
          <w:sz w:val="24"/>
          <w:szCs w:val="24"/>
        </w:rPr>
        <w:t xml:space="preserve">Slučajevi pranja novca povezana s zlouporabom droge </w:t>
      </w:r>
    </w:p>
    <w:p w14:paraId="5A5B87F5" w14:textId="77777777" w:rsidR="00B26D46" w:rsidRDefault="00B26D46" w:rsidP="00E201A5">
      <w:pPr>
        <w:spacing w:after="0" w:line="240" w:lineRule="auto"/>
        <w:jc w:val="both"/>
        <w:rPr>
          <w:rFonts w:ascii="Times New Roman" w:hAnsi="Times New Roman" w:cs="Times New Roman"/>
          <w:sz w:val="24"/>
          <w:szCs w:val="24"/>
        </w:rPr>
      </w:pPr>
    </w:p>
    <w:p w14:paraId="047BB52C" w14:textId="77777777" w:rsidR="00B26D46" w:rsidRDefault="00B26D46" w:rsidP="00E20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w:t>
      </w:r>
      <w:r w:rsidR="00E201A5" w:rsidRPr="00026787">
        <w:rPr>
          <w:rFonts w:ascii="Times New Roman" w:hAnsi="Times New Roman" w:cs="Times New Roman"/>
          <w:sz w:val="24"/>
          <w:szCs w:val="24"/>
        </w:rPr>
        <w:t>d tipologije zlouporaba opojnih droga Ured</w:t>
      </w:r>
      <w:r w:rsidR="008A13A3">
        <w:rPr>
          <w:rFonts w:ascii="Times New Roman" w:hAnsi="Times New Roman" w:cs="Times New Roman"/>
          <w:sz w:val="24"/>
          <w:szCs w:val="24"/>
        </w:rPr>
        <w:t xml:space="preserve"> je</w:t>
      </w:r>
      <w:r w:rsidR="00E201A5" w:rsidRPr="00026787">
        <w:rPr>
          <w:rFonts w:ascii="Times New Roman" w:hAnsi="Times New Roman" w:cs="Times New Roman"/>
          <w:sz w:val="24"/>
          <w:szCs w:val="24"/>
        </w:rPr>
        <w:t xml:space="preserve"> proveo analizu na izrazitom malom opsegu podataka obzirom na mali broj ulaznih informacija zaprimljenih od tijela kaznenog progona u kojima je iskazana sumnja na pranje novca povezano s </w:t>
      </w:r>
      <w:r>
        <w:rPr>
          <w:rFonts w:ascii="Times New Roman" w:hAnsi="Times New Roman" w:cs="Times New Roman"/>
          <w:sz w:val="24"/>
          <w:szCs w:val="24"/>
        </w:rPr>
        <w:t>zlouporabom droge</w:t>
      </w:r>
    </w:p>
    <w:p w14:paraId="18E2136E" w14:textId="77777777" w:rsidR="00B26D46" w:rsidRDefault="00B26D46" w:rsidP="00E201A5">
      <w:pPr>
        <w:spacing w:after="0" w:line="240" w:lineRule="auto"/>
        <w:jc w:val="both"/>
        <w:rPr>
          <w:rFonts w:ascii="Times New Roman" w:hAnsi="Times New Roman" w:cs="Times New Roman"/>
          <w:sz w:val="24"/>
          <w:szCs w:val="24"/>
        </w:rPr>
      </w:pPr>
    </w:p>
    <w:p w14:paraId="34103083" w14:textId="77777777" w:rsidR="00E201A5" w:rsidRPr="00026787" w:rsidRDefault="00E201A5" w:rsidP="00E201A5">
      <w:pPr>
        <w:spacing w:after="0" w:line="240" w:lineRule="auto"/>
        <w:jc w:val="both"/>
        <w:rPr>
          <w:rFonts w:ascii="Times New Roman" w:hAnsi="Times New Roman" w:cs="Times New Roman"/>
          <w:sz w:val="24"/>
          <w:szCs w:val="24"/>
        </w:rPr>
      </w:pPr>
      <w:r w:rsidRPr="00026787">
        <w:rPr>
          <w:rFonts w:ascii="Times New Roman" w:hAnsi="Times New Roman" w:cs="Times New Roman"/>
          <w:sz w:val="24"/>
          <w:szCs w:val="24"/>
        </w:rPr>
        <w:t>Obzirom na već prepoznate tipologije pranja nov</w:t>
      </w:r>
      <w:r w:rsidR="00B8517F">
        <w:rPr>
          <w:rFonts w:ascii="Times New Roman" w:hAnsi="Times New Roman" w:cs="Times New Roman"/>
          <w:sz w:val="24"/>
          <w:szCs w:val="24"/>
        </w:rPr>
        <w:t xml:space="preserve">ca za koji postoji sumnja da je </w:t>
      </w:r>
      <w:r w:rsidRPr="00026787">
        <w:rPr>
          <w:rFonts w:ascii="Times New Roman" w:hAnsi="Times New Roman" w:cs="Times New Roman"/>
          <w:sz w:val="24"/>
          <w:szCs w:val="24"/>
        </w:rPr>
        <w:t>stečen preprodajom droge kao što je poslovanje s gotovinom, stjecanje nekretnina za koje stjecanje nema pokrića u redovitim primanjima slučajevi koje je Ured analitički obrađivao upućuje na navedene sumnje</w:t>
      </w:r>
      <w:r w:rsidR="008A13A3">
        <w:rPr>
          <w:rFonts w:ascii="Times New Roman" w:hAnsi="Times New Roman" w:cs="Times New Roman"/>
          <w:sz w:val="24"/>
          <w:szCs w:val="24"/>
        </w:rPr>
        <w:t xml:space="preserve"> a</w:t>
      </w:r>
      <w:r w:rsidRPr="00026787">
        <w:rPr>
          <w:rFonts w:ascii="Times New Roman" w:hAnsi="Times New Roman" w:cs="Times New Roman"/>
          <w:sz w:val="24"/>
          <w:szCs w:val="24"/>
        </w:rPr>
        <w:t xml:space="preserve"> u nastavku su dani primjeri istih:</w:t>
      </w:r>
    </w:p>
    <w:p w14:paraId="6C4ECCC2" w14:textId="77777777" w:rsidR="00E201A5" w:rsidRPr="00026787" w:rsidRDefault="00E201A5" w:rsidP="00BD4933">
      <w:pPr>
        <w:numPr>
          <w:ilvl w:val="0"/>
          <w:numId w:val="17"/>
        </w:numPr>
        <w:spacing w:after="0" w:line="240" w:lineRule="auto"/>
        <w:contextualSpacing/>
        <w:jc w:val="both"/>
        <w:rPr>
          <w:rFonts w:ascii="Times New Roman" w:hAnsi="Times New Roman" w:cs="Times New Roman"/>
          <w:sz w:val="24"/>
          <w:szCs w:val="24"/>
        </w:rPr>
      </w:pPr>
      <w:r w:rsidRPr="00026787">
        <w:rPr>
          <w:rFonts w:ascii="Times New Roman" w:hAnsi="Times New Roman" w:cs="Times New Roman"/>
          <w:sz w:val="24"/>
          <w:szCs w:val="24"/>
        </w:rPr>
        <w:t>Osoba na bankovni račun polože veliki iznos gotovine (radilo se o neuredno posloženim novčanicama raznih apoena od kojih je dosta njih nižih apoena ) za koju nema pokriće u redovitim primanjima /prihodima. Kako je osoba rodbinski povezana s vlasnikom kluba koji je povezan s organiziranim kriminalom i trgovinom droge ocijenjeno je da postoji sumnja da gotovina moguće potječe od trgovine drogom koju kako bi prikrili njezino nezakonito stjecanje prikazuju da je ostvarena od obavljanja registrirane uslužne djelatnosti.</w:t>
      </w:r>
    </w:p>
    <w:p w14:paraId="6D96054F" w14:textId="77777777" w:rsidR="009164B6" w:rsidRDefault="00E201A5" w:rsidP="009164B6">
      <w:pPr>
        <w:numPr>
          <w:ilvl w:val="0"/>
          <w:numId w:val="17"/>
        </w:numPr>
        <w:spacing w:after="0" w:line="240" w:lineRule="auto"/>
        <w:contextualSpacing/>
        <w:jc w:val="both"/>
        <w:rPr>
          <w:rFonts w:ascii="Times New Roman" w:hAnsi="Times New Roman" w:cs="Times New Roman"/>
          <w:sz w:val="24"/>
          <w:szCs w:val="24"/>
        </w:rPr>
      </w:pPr>
      <w:r w:rsidRPr="00026787">
        <w:rPr>
          <w:rFonts w:ascii="Times New Roman" w:hAnsi="Times New Roman" w:cs="Times New Roman"/>
          <w:sz w:val="24"/>
          <w:szCs w:val="24"/>
        </w:rPr>
        <w:t xml:space="preserve">Osoba koja je predmet istrage zbog krijumčarenja droge polaže gotovinu na svoj račun. Nakon pologa novac pozajmljuje svojoj tvrtki (registrirana za iznajmljivanje plovila) koja plovilo kupuje na leasing plaćajući rate leasinga novcem koji potječe od pologa gotovine. </w:t>
      </w:r>
    </w:p>
    <w:p w14:paraId="6CD6484F" w14:textId="77777777" w:rsidR="009164B6" w:rsidRDefault="00E201A5" w:rsidP="009164B6">
      <w:pPr>
        <w:numPr>
          <w:ilvl w:val="0"/>
          <w:numId w:val="17"/>
        </w:numPr>
        <w:spacing w:after="0" w:line="240" w:lineRule="auto"/>
        <w:contextualSpacing/>
        <w:jc w:val="both"/>
        <w:rPr>
          <w:rFonts w:ascii="Times New Roman" w:hAnsi="Times New Roman" w:cs="Times New Roman"/>
          <w:sz w:val="24"/>
          <w:szCs w:val="24"/>
        </w:rPr>
      </w:pPr>
      <w:r w:rsidRPr="009164B6">
        <w:rPr>
          <w:rFonts w:ascii="Times New Roman" w:eastAsia="Calibri" w:hAnsi="Times New Roman" w:cs="Times New Roman"/>
          <w:bCs/>
          <w:sz w:val="24"/>
          <w:szCs w:val="24"/>
        </w:rPr>
        <w:t>Osoba bliska osobi koja je predmet međunarodne istrage zbog krijumčarenja droge prima priljev iz inozemstva na ime pozajmica od fizičkih i stranih pravnih osoba (koje su povezane s djelatnostima kockanja/klađenja). Dio novca koji je primljen iz inozemstva transferiran je natrag u inozemstvo a dio je transferiran na račun tvrtke čiji jedini osnivač i direktor ista ta fizička osoba, dio na račun tvrtke čija djelatnost je poslovanje s nekretninama a čiji vlasnik je osoba rodbinski povezana s istom fizičkom osobom te na račune drugih dviju fizičkih osoba u svrhu kupnje nekretnina. U Hrvatskoj se osoba protiv koje se provodi istraga zbog krijumčarenja droge povezuje s tvrtkom koja obavlja hotelijerske usluge te kockarske usluge.</w:t>
      </w:r>
      <w:r w:rsidR="009164B6" w:rsidRPr="009164B6">
        <w:rPr>
          <w:rFonts w:ascii="Times New Roman" w:hAnsi="Times New Roman" w:cs="Times New Roman"/>
          <w:sz w:val="24"/>
          <w:szCs w:val="24"/>
        </w:rPr>
        <w:t xml:space="preserve"> </w:t>
      </w:r>
    </w:p>
    <w:p w14:paraId="6480EFAD" w14:textId="59F8850D" w:rsidR="009164B6" w:rsidRPr="009164B6" w:rsidRDefault="009164B6" w:rsidP="009164B6">
      <w:pPr>
        <w:numPr>
          <w:ilvl w:val="0"/>
          <w:numId w:val="17"/>
        </w:numPr>
        <w:spacing w:after="0" w:line="240" w:lineRule="auto"/>
        <w:contextualSpacing/>
        <w:jc w:val="both"/>
        <w:rPr>
          <w:rFonts w:ascii="Times New Roman" w:hAnsi="Times New Roman" w:cs="Times New Roman"/>
          <w:sz w:val="24"/>
          <w:szCs w:val="24"/>
        </w:rPr>
      </w:pPr>
      <w:r w:rsidRPr="009164B6">
        <w:rPr>
          <w:rFonts w:ascii="Times New Roman" w:hAnsi="Times New Roman" w:cs="Times New Roman"/>
          <w:sz w:val="24"/>
          <w:szCs w:val="24"/>
        </w:rPr>
        <w:t>Fizička osoba  koja je predmet istrage zbog sumnje u nezakonitu trgovinu opojnim drogama  pozajmila je fizičkim osobama novac koje su imatelji poslovnih udjela u stranoj tvrtci koje udjele prenose na  hrvatsku tvrtku koja</w:t>
      </w:r>
      <w:r>
        <w:rPr>
          <w:rFonts w:ascii="Times New Roman" w:hAnsi="Times New Roman" w:cs="Times New Roman"/>
          <w:sz w:val="24"/>
          <w:szCs w:val="24"/>
        </w:rPr>
        <w:t xml:space="preserve"> je</w:t>
      </w:r>
      <w:r w:rsidRPr="009164B6">
        <w:rPr>
          <w:rFonts w:ascii="Times New Roman" w:hAnsi="Times New Roman" w:cs="Times New Roman"/>
          <w:sz w:val="24"/>
          <w:szCs w:val="24"/>
        </w:rPr>
        <w:t xml:space="preserve"> imala potraživanja od prenositelja poslovnih udjela  s osnove dane pozajmice od strane predmetne fizičke </w:t>
      </w:r>
      <w:r w:rsidRPr="009164B6">
        <w:rPr>
          <w:rFonts w:ascii="Times New Roman" w:hAnsi="Times New Roman" w:cs="Times New Roman"/>
          <w:sz w:val="24"/>
          <w:szCs w:val="24"/>
        </w:rPr>
        <w:lastRenderedPageBreak/>
        <w:t>koja je predmet istrage. Naknada za prijenos udjela plaća se kompenzacijom naknade s potraživanjem  koje hrvatska tvrtka ima prema prenositeljima  temeljem pozajmice.</w:t>
      </w:r>
    </w:p>
    <w:p w14:paraId="2325547E" w14:textId="77777777" w:rsidR="00E201A5" w:rsidRPr="00026787" w:rsidRDefault="00E201A5" w:rsidP="009164B6">
      <w:pPr>
        <w:spacing w:after="0" w:line="240" w:lineRule="auto"/>
        <w:ind w:left="720"/>
        <w:contextualSpacing/>
        <w:jc w:val="both"/>
        <w:rPr>
          <w:rFonts w:ascii="Times New Roman" w:eastAsia="Calibri" w:hAnsi="Times New Roman" w:cs="Times New Roman"/>
          <w:bCs/>
          <w:sz w:val="24"/>
          <w:szCs w:val="24"/>
        </w:rPr>
      </w:pPr>
    </w:p>
    <w:p w14:paraId="6A2737E5" w14:textId="77777777" w:rsidR="00E201A5" w:rsidRPr="00026787" w:rsidRDefault="00E201A5" w:rsidP="00E201A5">
      <w:pPr>
        <w:spacing w:after="0" w:line="240" w:lineRule="auto"/>
        <w:jc w:val="both"/>
        <w:rPr>
          <w:rFonts w:ascii="Times New Roman" w:hAnsi="Times New Roman" w:cs="Times New Roman"/>
          <w:sz w:val="24"/>
          <w:szCs w:val="24"/>
        </w:rPr>
      </w:pPr>
    </w:p>
    <w:p w14:paraId="7D982906" w14:textId="4CAE06EA" w:rsidR="00A94785" w:rsidRPr="00294E20" w:rsidRDefault="00E201A5" w:rsidP="00E201A5">
      <w:pPr>
        <w:spacing w:after="0" w:line="240" w:lineRule="auto"/>
        <w:jc w:val="both"/>
        <w:rPr>
          <w:rFonts w:ascii="Times New Roman" w:hAnsi="Times New Roman" w:cs="Times New Roman"/>
          <w:sz w:val="24"/>
          <w:szCs w:val="24"/>
        </w:rPr>
      </w:pPr>
      <w:r w:rsidRPr="00294E20">
        <w:rPr>
          <w:rFonts w:ascii="Times New Roman" w:hAnsi="Times New Roman" w:cs="Times New Roman"/>
          <w:sz w:val="24"/>
          <w:szCs w:val="24"/>
        </w:rPr>
        <w:t>Slučajevi pranja novca povezana s zlouporabom droge ukazuju i na moguću zlouporabu tvrtki koje obavljaju uslužne djelatnosti, za pranje novca koji potječe od trgovine droge obzirom da takve djelatnosti još uvijek često posluju s gotovinom tako da iste mogu prikazivati znatno veće promete od stvarno ostvarenog (na taj način gotovinu koja je stečena trgovinom droge ubacuju u legalne poslove i prikazuju da je zakonito stečena).</w:t>
      </w:r>
      <w:r w:rsidR="003656CA" w:rsidRPr="00294E20">
        <w:rPr>
          <w:rFonts w:ascii="Times New Roman" w:hAnsi="Times New Roman" w:cs="Times New Roman"/>
          <w:sz w:val="24"/>
          <w:szCs w:val="24"/>
        </w:rPr>
        <w:t xml:space="preserve"> </w:t>
      </w:r>
    </w:p>
    <w:p w14:paraId="516ACD68" w14:textId="77777777" w:rsidR="00A94785" w:rsidRPr="00294E20" w:rsidRDefault="00A94785" w:rsidP="00E201A5">
      <w:pPr>
        <w:spacing w:after="0" w:line="240" w:lineRule="auto"/>
        <w:jc w:val="both"/>
        <w:rPr>
          <w:rFonts w:ascii="Times New Roman" w:hAnsi="Times New Roman" w:cs="Times New Roman"/>
          <w:sz w:val="24"/>
          <w:szCs w:val="24"/>
        </w:rPr>
      </w:pPr>
    </w:p>
    <w:p w14:paraId="0956DCEF" w14:textId="05CDA271" w:rsidR="00E201A5" w:rsidRPr="00294E20" w:rsidRDefault="00A94785" w:rsidP="00E201A5">
      <w:pPr>
        <w:spacing w:after="0" w:line="240" w:lineRule="auto"/>
        <w:jc w:val="both"/>
        <w:rPr>
          <w:rFonts w:ascii="Times New Roman" w:hAnsi="Times New Roman" w:cs="Times New Roman"/>
          <w:sz w:val="24"/>
          <w:szCs w:val="24"/>
        </w:rPr>
      </w:pPr>
      <w:r w:rsidRPr="00294E20">
        <w:rPr>
          <w:rFonts w:ascii="Times New Roman" w:hAnsi="Times New Roman" w:cs="Times New Roman"/>
          <w:sz w:val="24"/>
          <w:szCs w:val="24"/>
        </w:rPr>
        <w:t>Z</w:t>
      </w:r>
      <w:r w:rsidR="00E201A5" w:rsidRPr="00294E20">
        <w:rPr>
          <w:rFonts w:ascii="Times New Roman" w:hAnsi="Times New Roman" w:cs="Times New Roman"/>
          <w:sz w:val="24"/>
          <w:szCs w:val="24"/>
        </w:rPr>
        <w:t>a određene osobe koje se dovode u vezu s trgovinom droge ili su povezane s osobama za koje se sumnja da su uključene u trgovinu droge a bile su predmet analitičke obrade u Uredu utvrđeno je da su iste kupovale kriptovalute što iako se u konkretnim slučajevima radilo o</w:t>
      </w:r>
      <w:r w:rsidR="003656CA" w:rsidRPr="00294E20">
        <w:rPr>
          <w:rFonts w:ascii="Times New Roman" w:hAnsi="Times New Roman" w:cs="Times New Roman"/>
          <w:sz w:val="24"/>
          <w:szCs w:val="24"/>
        </w:rPr>
        <w:t xml:space="preserve"> </w:t>
      </w:r>
      <w:r w:rsidR="00E201A5" w:rsidRPr="00294E20">
        <w:rPr>
          <w:rFonts w:ascii="Times New Roman" w:hAnsi="Times New Roman" w:cs="Times New Roman"/>
          <w:sz w:val="24"/>
          <w:szCs w:val="24"/>
        </w:rPr>
        <w:t>manjim vrijednostima upućuje na sumnju da se ulaganjem u kriptovalute pokušao prikriti</w:t>
      </w:r>
      <w:r w:rsidR="003656CA" w:rsidRPr="00294E20">
        <w:rPr>
          <w:rFonts w:ascii="Times New Roman" w:hAnsi="Times New Roman" w:cs="Times New Roman"/>
          <w:sz w:val="24"/>
          <w:szCs w:val="24"/>
        </w:rPr>
        <w:t xml:space="preserve"> </w:t>
      </w:r>
      <w:r w:rsidR="00E201A5" w:rsidRPr="00294E20">
        <w:rPr>
          <w:rFonts w:ascii="Times New Roman" w:hAnsi="Times New Roman" w:cs="Times New Roman"/>
          <w:sz w:val="24"/>
          <w:szCs w:val="24"/>
        </w:rPr>
        <w:t xml:space="preserve">pravi izvor nezakonito stečenog novca. </w:t>
      </w:r>
    </w:p>
    <w:p w14:paraId="4B870DC5" w14:textId="77777777" w:rsidR="00A94785" w:rsidRDefault="00A94785" w:rsidP="00A94785">
      <w:pPr>
        <w:spacing w:after="0" w:line="240" w:lineRule="auto"/>
        <w:jc w:val="both"/>
        <w:rPr>
          <w:rFonts w:ascii="Times New Roman" w:eastAsia="Calibri" w:hAnsi="Times New Roman" w:cs="Times New Roman"/>
          <w:bCs/>
          <w:sz w:val="24"/>
          <w:szCs w:val="24"/>
        </w:rPr>
      </w:pPr>
    </w:p>
    <w:p w14:paraId="4B790385" w14:textId="48689978" w:rsidR="009E145B" w:rsidRDefault="009E145B" w:rsidP="00A94785">
      <w:pPr>
        <w:spacing w:after="0" w:line="240" w:lineRule="auto"/>
        <w:jc w:val="both"/>
        <w:rPr>
          <w:rFonts w:ascii="Times New Roman" w:eastAsia="Calibri" w:hAnsi="Times New Roman" w:cs="Times New Roman"/>
          <w:bCs/>
          <w:sz w:val="24"/>
          <w:szCs w:val="24"/>
        </w:rPr>
      </w:pPr>
    </w:p>
    <w:p w14:paraId="6FD45F31" w14:textId="185660A2" w:rsidR="009E145B" w:rsidRDefault="009E145B" w:rsidP="009E145B">
      <w:pPr>
        <w:pStyle w:val="Naslov3"/>
      </w:pPr>
      <w:bookmarkStart w:id="25" w:name="_Toc153353428"/>
      <w:r>
        <w:t>3.4.</w:t>
      </w:r>
      <w:r>
        <w:tab/>
        <w:t>Anonimizirani slučajevi Ureda</w:t>
      </w:r>
      <w:bookmarkEnd w:id="25"/>
    </w:p>
    <w:p w14:paraId="02799F28" w14:textId="77777777" w:rsidR="009E145B" w:rsidRDefault="009E145B" w:rsidP="00A94785">
      <w:pPr>
        <w:spacing w:after="0" w:line="240" w:lineRule="auto"/>
        <w:jc w:val="both"/>
        <w:rPr>
          <w:rFonts w:ascii="Times New Roman" w:eastAsia="Calibri" w:hAnsi="Times New Roman" w:cs="Times New Roman"/>
          <w:bCs/>
          <w:sz w:val="24"/>
          <w:szCs w:val="24"/>
        </w:rPr>
      </w:pPr>
    </w:p>
    <w:p w14:paraId="17281F14" w14:textId="1BA60776" w:rsidR="00A94785" w:rsidRPr="00A94785" w:rsidRDefault="00A94785" w:rsidP="00A94785">
      <w:pPr>
        <w:spacing w:after="0" w:line="240" w:lineRule="auto"/>
        <w:jc w:val="both"/>
        <w:rPr>
          <w:rFonts w:ascii="Times New Roman" w:eastAsia="Calibri" w:hAnsi="Times New Roman" w:cs="Times New Roman"/>
          <w:bCs/>
          <w:sz w:val="24"/>
          <w:szCs w:val="24"/>
        </w:rPr>
      </w:pPr>
      <w:r w:rsidRPr="00A94785">
        <w:rPr>
          <w:rFonts w:ascii="Times New Roman" w:eastAsia="Calibri" w:hAnsi="Times New Roman" w:cs="Times New Roman"/>
          <w:bCs/>
          <w:sz w:val="24"/>
          <w:szCs w:val="24"/>
        </w:rPr>
        <w:t>U nastavku prikazujemo sažete anonimne primjere konkretnih slučajeva sa sumnjom na pranje novca koje je Ured dostavio nadležnim državnim tijelima i inozemnim financijsko-obavještajnim jedinicama na daljnje postupanje i procesuiranje.</w:t>
      </w:r>
    </w:p>
    <w:p w14:paraId="4046D7D4" w14:textId="77777777" w:rsidR="00E201A5" w:rsidRPr="00BC0309" w:rsidRDefault="00E201A5" w:rsidP="00B26D46">
      <w:pPr>
        <w:shd w:val="clear" w:color="auto" w:fill="FFFFFF"/>
        <w:spacing w:after="0" w:line="240" w:lineRule="auto"/>
        <w:jc w:val="both"/>
        <w:rPr>
          <w:rFonts w:ascii="Times New Roman" w:eastAsiaTheme="minorEastAsia" w:hAnsi="Times New Roman" w:cs="Times New Roman"/>
          <w:sz w:val="24"/>
          <w:szCs w:val="24"/>
        </w:rPr>
      </w:pPr>
    </w:p>
    <w:p w14:paraId="78D2B32F" w14:textId="2EC092D2" w:rsidR="003B2A4B" w:rsidRPr="00E533A0" w:rsidRDefault="009E145B" w:rsidP="003B2A4B">
      <w:pPr>
        <w:shd w:val="clear" w:color="auto" w:fill="FFFFFF"/>
        <w:spacing w:after="0" w:line="240" w:lineRule="auto"/>
        <w:jc w:val="both"/>
        <w:rPr>
          <w:rFonts w:ascii="Times New Roman" w:eastAsia="Times New Roman" w:hAnsi="Times New Roman" w:cs="Times New Roman"/>
          <w:b/>
          <w:strike/>
          <w:sz w:val="24"/>
          <w:szCs w:val="24"/>
          <w:lang w:eastAsia="hr-HR"/>
        </w:rPr>
      </w:pPr>
      <w:r w:rsidRPr="00E533A0">
        <w:rPr>
          <w:rFonts w:ascii="Times New Roman" w:hAnsi="Times New Roman" w:cs="Times New Roman"/>
          <w:b/>
          <w:sz w:val="24"/>
          <w:szCs w:val="24"/>
        </w:rPr>
        <w:t xml:space="preserve">3.4.1 </w:t>
      </w:r>
      <w:r w:rsidR="00B8517F" w:rsidRPr="00E533A0">
        <w:rPr>
          <w:rFonts w:ascii="Times New Roman" w:hAnsi="Times New Roman" w:cs="Times New Roman"/>
          <w:b/>
          <w:sz w:val="24"/>
          <w:szCs w:val="24"/>
        </w:rPr>
        <w:t xml:space="preserve">Slučaj pranja novca povezan s predikatnim koruptivnim kaznenim djelom </w:t>
      </w:r>
      <w:r w:rsidR="003B2A4B" w:rsidRPr="00E533A0">
        <w:rPr>
          <w:rFonts w:ascii="Times New Roman" w:eastAsia="Times New Roman" w:hAnsi="Times New Roman" w:cs="Times New Roman"/>
          <w:b/>
          <w:sz w:val="24"/>
          <w:szCs w:val="24"/>
          <w:lang w:eastAsia="hr-HR"/>
        </w:rPr>
        <w:t xml:space="preserve">u okviru kojih je utvrđena zlouporaba računa fizičkih i pravnih osoba </w:t>
      </w:r>
    </w:p>
    <w:p w14:paraId="463103BE" w14:textId="77777777" w:rsidR="00B8517F" w:rsidRPr="000677B7" w:rsidRDefault="00B8517F" w:rsidP="009E145B">
      <w:pPr>
        <w:spacing w:after="0" w:line="240" w:lineRule="auto"/>
        <w:jc w:val="both"/>
        <w:rPr>
          <w:rFonts w:ascii="Times New Roman" w:eastAsia="Times New Roman" w:hAnsi="Times New Roman" w:cs="Times New Roman"/>
          <w:b/>
          <w:i/>
          <w:color w:val="000000"/>
          <w:sz w:val="24"/>
          <w:szCs w:val="24"/>
          <w:lang w:eastAsia="hr-HR"/>
        </w:rPr>
      </w:pPr>
    </w:p>
    <w:p w14:paraId="616958A1" w14:textId="185823D3" w:rsidR="00B8517F" w:rsidRPr="00E533A0" w:rsidRDefault="00B8517F" w:rsidP="00B8517F">
      <w:pPr>
        <w:jc w:val="both"/>
        <w:rPr>
          <w:rFonts w:ascii="Times New Roman" w:eastAsia="Times New Roman" w:hAnsi="Times New Roman" w:cs="Times New Roman"/>
          <w:sz w:val="24"/>
          <w:szCs w:val="24"/>
          <w:lang w:eastAsia="hr-HR"/>
        </w:rPr>
      </w:pPr>
      <w:r w:rsidRPr="00E533A0">
        <w:rPr>
          <w:rFonts w:ascii="Times New Roman" w:eastAsia="Times New Roman" w:hAnsi="Times New Roman" w:cs="Times New Roman"/>
          <w:sz w:val="24"/>
          <w:szCs w:val="24"/>
          <w:lang w:eastAsia="hr-HR"/>
        </w:rPr>
        <w:t>Preko računa fizičkih osoba i računa tvrtke čiji osnivači /direktori su neke od tih fizičkih osoba obavljaju se transakcije s ciljem prikrivanja novca za koji postoji sumnja da potječe od</w:t>
      </w:r>
      <w:r w:rsidR="003656CA" w:rsidRPr="00E533A0">
        <w:rPr>
          <w:rFonts w:ascii="Times New Roman" w:eastAsia="Times New Roman" w:hAnsi="Times New Roman" w:cs="Times New Roman"/>
          <w:sz w:val="24"/>
          <w:szCs w:val="24"/>
          <w:lang w:eastAsia="hr-HR"/>
        </w:rPr>
        <w:t xml:space="preserve"> </w:t>
      </w:r>
      <w:r w:rsidRPr="00E533A0">
        <w:rPr>
          <w:rFonts w:ascii="Times New Roman" w:eastAsia="Times New Roman" w:hAnsi="Times New Roman" w:cs="Times New Roman"/>
          <w:sz w:val="24"/>
          <w:szCs w:val="24"/>
          <w:lang w:eastAsia="hr-HR"/>
        </w:rPr>
        <w:t>koruptivnog kaznenog djela.</w:t>
      </w:r>
      <w:r w:rsidR="003656CA" w:rsidRPr="00E533A0">
        <w:rPr>
          <w:rFonts w:ascii="Times New Roman" w:eastAsia="Calibri" w:hAnsi="Times New Roman" w:cs="Times New Roman"/>
          <w:sz w:val="24"/>
          <w:szCs w:val="24"/>
        </w:rPr>
        <w:t xml:space="preserve"> </w:t>
      </w:r>
    </w:p>
    <w:p w14:paraId="2179F2B4" w14:textId="77777777" w:rsidR="00B8517F" w:rsidRPr="00E533A0" w:rsidRDefault="00B8517F" w:rsidP="00B8517F">
      <w:pPr>
        <w:jc w:val="both"/>
        <w:rPr>
          <w:rFonts w:ascii="Times New Roman" w:eastAsia="Times New Roman" w:hAnsi="Times New Roman" w:cs="Times New Roman"/>
          <w:sz w:val="24"/>
          <w:szCs w:val="24"/>
          <w:lang w:eastAsia="hr-HR"/>
        </w:rPr>
      </w:pPr>
      <w:r w:rsidRPr="00E533A0">
        <w:rPr>
          <w:rFonts w:ascii="Times New Roman" w:eastAsia="Times New Roman" w:hAnsi="Times New Roman" w:cs="Times New Roman"/>
          <w:sz w:val="24"/>
          <w:szCs w:val="24"/>
          <w:lang w:eastAsia="hr-HR"/>
        </w:rPr>
        <w:t>Fizička osoba –umirovljenik na svoj tekući račun zaprima višemilijunske iznose od dviju fizičkih osoba</w:t>
      </w:r>
      <w:r w:rsidR="00F4496B" w:rsidRPr="00E533A0">
        <w:rPr>
          <w:rFonts w:ascii="Times New Roman" w:eastAsia="Times New Roman" w:hAnsi="Times New Roman" w:cs="Times New Roman"/>
          <w:sz w:val="24"/>
          <w:szCs w:val="24"/>
          <w:lang w:eastAsia="hr-HR"/>
        </w:rPr>
        <w:t xml:space="preserve"> koji iznosi su istima</w:t>
      </w:r>
      <w:r w:rsidRPr="00E533A0">
        <w:rPr>
          <w:rFonts w:ascii="Times New Roman" w:eastAsia="Times New Roman" w:hAnsi="Times New Roman" w:cs="Times New Roman"/>
          <w:sz w:val="24"/>
          <w:szCs w:val="24"/>
          <w:lang w:eastAsia="hr-HR"/>
        </w:rPr>
        <w:t xml:space="preserve"> direktno ili posredstvom računa drugih s njima povezanih osoba doznačeni s računa tvrtke s osnove isplate dobiti/dividende. Predmetna tvrtka registrirana je za obavljanje energetske djelatnosti trgovine plinom a novac koji isplaćuje fizičkim osobama (koje su njeni osnivači) potječe od uplata iz inozemstva s računa inozemne tvrtke (po osnovi plaćanja računa). S računa predmetne tvrtke osim predmetnim fizičkim osobama novac se po osnovi plaćanja računa isplaćuje i dvjema domaćim tvrtkama koje se također bave trgovinom plina</w:t>
      </w:r>
      <w:r w:rsidR="00F4496B" w:rsidRPr="00E533A0">
        <w:rPr>
          <w:rFonts w:ascii="Times New Roman" w:eastAsia="Times New Roman" w:hAnsi="Times New Roman" w:cs="Times New Roman"/>
          <w:sz w:val="24"/>
          <w:szCs w:val="24"/>
          <w:lang w:eastAsia="hr-HR"/>
        </w:rPr>
        <w:t xml:space="preserve"> i</w:t>
      </w:r>
      <w:r w:rsidRPr="00E533A0">
        <w:rPr>
          <w:rFonts w:ascii="Times New Roman" w:eastAsia="Times New Roman" w:hAnsi="Times New Roman" w:cs="Times New Roman"/>
          <w:sz w:val="24"/>
          <w:szCs w:val="24"/>
          <w:lang w:eastAsia="hr-HR"/>
        </w:rPr>
        <w:t xml:space="preserve"> s kojima je upravljački povezana fizička osoba (direktor odnosno zamjenik nadzornog odbora) koja je opunomoćenik po računu fizičke osobe-umirovljenika na čiji račun je u konačnici najviše uplaćeno novca za koji se sumnja da je nezakonito stečen.</w:t>
      </w:r>
    </w:p>
    <w:p w14:paraId="5E60B18A" w14:textId="77777777" w:rsidR="00B8517F" w:rsidRPr="00E533A0" w:rsidRDefault="00B8517F" w:rsidP="009E145B">
      <w:pPr>
        <w:spacing w:after="0" w:line="240" w:lineRule="auto"/>
        <w:jc w:val="both"/>
        <w:rPr>
          <w:rFonts w:ascii="Times New Roman" w:eastAsia="Times New Roman" w:hAnsi="Times New Roman" w:cs="Times New Roman"/>
          <w:sz w:val="24"/>
          <w:szCs w:val="24"/>
          <w:lang w:eastAsia="hr-HR"/>
        </w:rPr>
      </w:pPr>
      <w:r w:rsidRPr="00E533A0">
        <w:rPr>
          <w:rFonts w:ascii="Times New Roman" w:eastAsia="Calibri" w:hAnsi="Times New Roman" w:cs="Times New Roman"/>
          <w:sz w:val="24"/>
          <w:szCs w:val="24"/>
        </w:rPr>
        <w:t xml:space="preserve">Navedeni slučaj Ured je otvorio temeljem obavijesti o sumnjivim transakcijama zaprimljenih od više banaka. Na temelju tih obavijesti i dodatnih provjera kod </w:t>
      </w:r>
      <w:r w:rsidRPr="00E533A0">
        <w:rPr>
          <w:rFonts w:ascii="Times New Roman" w:eastAsiaTheme="minorEastAsia" w:hAnsi="Times New Roman" w:cs="Times New Roman"/>
          <w:sz w:val="24"/>
          <w:szCs w:val="24"/>
        </w:rPr>
        <w:t>banaka i drugih</w:t>
      </w:r>
      <w:r w:rsidRPr="00E533A0">
        <w:rPr>
          <w:rFonts w:ascii="Times New Roman" w:eastAsia="Calibri" w:hAnsi="Times New Roman" w:cs="Times New Roman"/>
          <w:sz w:val="24"/>
          <w:szCs w:val="24"/>
        </w:rPr>
        <w:t xml:space="preserve"> obveznika (društava za upravljanje investicijskim fondovima, društava za osiguranje ) Ured je</w:t>
      </w:r>
      <w:r w:rsidRPr="00E533A0">
        <w:rPr>
          <w:rFonts w:ascii="Times New Roman" w:eastAsiaTheme="minorEastAsia" w:hAnsi="Times New Roman" w:cs="Times New Roman"/>
          <w:sz w:val="24"/>
          <w:szCs w:val="24"/>
        </w:rPr>
        <w:t xml:space="preserve"> je izdao naloge za privremenim zaustavljanjem izvršenja sumnjivih transakcija (bankovni računi, udjeli u investicijskim fondovima i polici doživotnog investicijskog osiguranja života) u iznosu od 569.119.701,94 kuna i 33.243.285,41 eura,</w:t>
      </w:r>
      <w:r w:rsidRPr="00E533A0">
        <w:rPr>
          <w:rFonts w:ascii="Times New Roman" w:eastAsia="Calibri" w:hAnsi="Times New Roman" w:cs="Times New Roman"/>
          <w:sz w:val="24"/>
          <w:szCs w:val="24"/>
        </w:rPr>
        <w:t xml:space="preserve"> te slučaj sa sumnjom na pranje novca dostavio </w:t>
      </w:r>
      <w:r w:rsidRPr="00E533A0">
        <w:rPr>
          <w:rFonts w:ascii="Times New Roman" w:eastAsia="Calibri" w:hAnsi="Times New Roman" w:cs="Times New Roman"/>
          <w:szCs w:val="24"/>
        </w:rPr>
        <w:t>USOKU</w:t>
      </w:r>
      <w:r w:rsidRPr="00E533A0">
        <w:rPr>
          <w:rFonts w:ascii="Times New Roman" w:eastAsia="Calibri" w:hAnsi="Times New Roman" w:cs="Times New Roman"/>
          <w:sz w:val="24"/>
          <w:szCs w:val="24"/>
        </w:rPr>
        <w:t xml:space="preserve">-u. Protiv dvije predmetne fizičke osobe pokrenuta je istraga zbog sumnje na pranje </w:t>
      </w:r>
      <w:r w:rsidRPr="00E533A0">
        <w:rPr>
          <w:rFonts w:ascii="Times New Roman" w:eastAsia="Calibri" w:hAnsi="Times New Roman" w:cs="Times New Roman"/>
          <w:sz w:val="24"/>
          <w:szCs w:val="24"/>
        </w:rPr>
        <w:lastRenderedPageBreak/>
        <w:t xml:space="preserve">novca i s njim povezanog predikatnog kaznenog djela </w:t>
      </w:r>
      <w:r w:rsidRPr="00E533A0">
        <w:rPr>
          <w:rFonts w:ascii="Times New Roman" w:eastAsia="Times New Roman" w:hAnsi="Times New Roman" w:cs="Times New Roman"/>
          <w:sz w:val="24"/>
          <w:szCs w:val="24"/>
          <w:lang w:eastAsia="hr-HR"/>
        </w:rPr>
        <w:t xml:space="preserve">zlouporaba povjerenja u gospodarskom poslovanju u </w:t>
      </w:r>
      <w:r w:rsidR="008A4B48" w:rsidRPr="00E533A0">
        <w:rPr>
          <w:rFonts w:ascii="Times New Roman" w:eastAsia="Times New Roman" w:hAnsi="Times New Roman" w:cs="Times New Roman"/>
          <w:sz w:val="24"/>
          <w:szCs w:val="24"/>
          <w:lang w:eastAsia="hr-HR"/>
        </w:rPr>
        <w:t>sastavu zločinačkog udruženja.</w:t>
      </w:r>
    </w:p>
    <w:p w14:paraId="3E87E648" w14:textId="77777777" w:rsidR="00A94785" w:rsidRDefault="00A94785" w:rsidP="009E145B">
      <w:pPr>
        <w:shd w:val="clear" w:color="auto" w:fill="FFFFFF"/>
        <w:spacing w:after="0" w:line="240" w:lineRule="auto"/>
        <w:jc w:val="both"/>
        <w:rPr>
          <w:rFonts w:ascii="Times New Roman" w:hAnsi="Times New Roman" w:cs="Times New Roman"/>
          <w:b/>
          <w:i/>
          <w:sz w:val="24"/>
          <w:szCs w:val="24"/>
        </w:rPr>
      </w:pPr>
    </w:p>
    <w:p w14:paraId="7E9A2840" w14:textId="785ADA7A" w:rsidR="00B26D46" w:rsidRPr="00E533A0" w:rsidRDefault="009E145B" w:rsidP="00B26D46">
      <w:pPr>
        <w:shd w:val="clear" w:color="auto" w:fill="FFFFFF"/>
        <w:spacing w:after="0" w:line="240" w:lineRule="auto"/>
        <w:jc w:val="both"/>
        <w:rPr>
          <w:rFonts w:ascii="Times New Roman" w:eastAsia="Times New Roman" w:hAnsi="Times New Roman" w:cs="Times New Roman"/>
          <w:b/>
          <w:sz w:val="24"/>
          <w:szCs w:val="24"/>
          <w:lang w:eastAsia="hr-HR"/>
        </w:rPr>
      </w:pPr>
      <w:r w:rsidRPr="00E533A0">
        <w:rPr>
          <w:rFonts w:ascii="Times New Roman" w:hAnsi="Times New Roman" w:cs="Times New Roman"/>
          <w:b/>
          <w:sz w:val="24"/>
          <w:szCs w:val="24"/>
        </w:rPr>
        <w:t xml:space="preserve">3.4.2. </w:t>
      </w:r>
      <w:r w:rsidR="00B8517F" w:rsidRPr="00E533A0">
        <w:rPr>
          <w:rFonts w:ascii="Times New Roman" w:hAnsi="Times New Roman" w:cs="Times New Roman"/>
          <w:b/>
          <w:sz w:val="24"/>
          <w:szCs w:val="24"/>
        </w:rPr>
        <w:t xml:space="preserve">Slučaj pranja novca povezan s predikatnim kaznenim djelom računalne prijevare </w:t>
      </w:r>
      <w:r w:rsidR="00B8517F" w:rsidRPr="00E533A0">
        <w:rPr>
          <w:rFonts w:ascii="Times New Roman" w:eastAsia="Times New Roman" w:hAnsi="Times New Roman" w:cs="Times New Roman"/>
          <w:b/>
          <w:sz w:val="24"/>
          <w:szCs w:val="24"/>
          <w:lang w:eastAsia="hr-HR"/>
        </w:rPr>
        <w:t>u okviru kojih je utvrđe</w:t>
      </w:r>
      <w:r w:rsidR="00B26D46" w:rsidRPr="00E533A0">
        <w:rPr>
          <w:rFonts w:ascii="Times New Roman" w:eastAsia="Times New Roman" w:hAnsi="Times New Roman" w:cs="Times New Roman"/>
          <w:b/>
          <w:sz w:val="24"/>
          <w:szCs w:val="24"/>
          <w:lang w:eastAsia="hr-HR"/>
        </w:rPr>
        <w:t>na zlouporaba virtualnih valuta</w:t>
      </w:r>
    </w:p>
    <w:p w14:paraId="7B07261E" w14:textId="77777777" w:rsidR="00B26D46" w:rsidRDefault="00B26D46" w:rsidP="00B26D46">
      <w:pPr>
        <w:shd w:val="clear" w:color="auto" w:fill="FFFFFF"/>
        <w:spacing w:after="0" w:line="240" w:lineRule="auto"/>
        <w:jc w:val="both"/>
        <w:rPr>
          <w:rFonts w:ascii="Times New Roman" w:eastAsia="Times New Roman" w:hAnsi="Times New Roman" w:cs="Times New Roman"/>
          <w:b/>
          <w:i/>
          <w:sz w:val="24"/>
          <w:szCs w:val="24"/>
          <w:lang w:eastAsia="hr-HR"/>
        </w:rPr>
      </w:pPr>
    </w:p>
    <w:p w14:paraId="5C4E4B4D" w14:textId="5CB22E04" w:rsidR="00B8517F" w:rsidRPr="00E533A0" w:rsidRDefault="00B26D46" w:rsidP="00B26D46">
      <w:pPr>
        <w:shd w:val="clear" w:color="auto" w:fill="FFFFFF"/>
        <w:spacing w:after="0" w:line="240" w:lineRule="auto"/>
        <w:jc w:val="both"/>
        <w:rPr>
          <w:rFonts w:ascii="Times New Roman" w:eastAsia="Times New Roman" w:hAnsi="Times New Roman" w:cs="Times New Roman"/>
          <w:b/>
          <w:sz w:val="24"/>
          <w:szCs w:val="24"/>
          <w:lang w:eastAsia="hr-HR"/>
        </w:rPr>
      </w:pPr>
      <w:r w:rsidRPr="00E533A0">
        <w:rPr>
          <w:rFonts w:ascii="Times New Roman" w:eastAsia="Times New Roman" w:hAnsi="Times New Roman"/>
          <w:sz w:val="24"/>
          <w:szCs w:val="24"/>
          <w:lang w:eastAsia="hr-HR"/>
        </w:rPr>
        <w:t xml:space="preserve">Strani </w:t>
      </w:r>
      <w:r w:rsidR="00B8517F" w:rsidRPr="00E533A0">
        <w:rPr>
          <w:rFonts w:ascii="Times New Roman" w:eastAsia="Times New Roman" w:hAnsi="Times New Roman" w:cs="Times New Roman"/>
          <w:sz w:val="24"/>
          <w:szCs w:val="24"/>
          <w:lang w:eastAsia="hr-HR"/>
        </w:rPr>
        <w:t>državljanin iz treće zemlje otvara više bankovnih računa u Republici Hrvatskoj na koje</w:t>
      </w:r>
      <w:r w:rsidR="003656CA" w:rsidRPr="00E533A0">
        <w:rPr>
          <w:rFonts w:ascii="Times New Roman" w:eastAsia="Times New Roman" w:hAnsi="Times New Roman" w:cs="Times New Roman"/>
          <w:sz w:val="24"/>
          <w:szCs w:val="24"/>
          <w:lang w:eastAsia="hr-HR"/>
        </w:rPr>
        <w:t xml:space="preserve"> </w:t>
      </w:r>
      <w:r w:rsidR="00B8517F" w:rsidRPr="00E533A0">
        <w:rPr>
          <w:rFonts w:ascii="Times New Roman" w:eastAsia="Times New Roman" w:hAnsi="Times New Roman" w:cs="Times New Roman"/>
          <w:sz w:val="24"/>
          <w:szCs w:val="24"/>
          <w:lang w:eastAsia="hr-HR"/>
        </w:rPr>
        <w:t xml:space="preserve">se transferira novac koji potječe od kaznenog djela računalne prijevare, a zatim isti novac posredstvom više tvrtki koje se </w:t>
      </w:r>
      <w:r w:rsidR="00B8517F" w:rsidRPr="00E533A0">
        <w:rPr>
          <w:rFonts w:ascii="Times New Roman" w:eastAsia="Calibri" w:hAnsi="Times New Roman" w:cs="Times New Roman"/>
          <w:sz w:val="24"/>
          <w:szCs w:val="24"/>
        </w:rPr>
        <w:t xml:space="preserve">se bave razmjenom virtualnih i fiducijarnih valuta ulaže u kupnju kriptovaluta. Navedeni slučaj Ured od jedne od tvrtke koja se bavi razmjenom virtualnih valuta. Na temelju te obavijesti i dodatnih provjera kod drugih obveznika (banke i tvrtke koje se bave razmjenom virtualnih valuta) Ured je blokirao sumnjiva sredstva koja su se nalazila na jednom od banovnih računa, te slučaj sa sumnjom na pranje novca dostavio nadležnom državnom odvjetništvu. Protiv predmetnog stranog državljanina donesena je pravomoćna osuđujuća presuda za pranje novca, slijedom koje je oduzeto ukupno 1,44 milijun kuna. </w:t>
      </w:r>
    </w:p>
    <w:p w14:paraId="42ABB34C" w14:textId="77777777" w:rsidR="00B8517F" w:rsidRPr="00B26D46" w:rsidRDefault="00B8517F" w:rsidP="00B8517F">
      <w:pPr>
        <w:shd w:val="clear" w:color="auto" w:fill="FFFFFF"/>
        <w:spacing w:after="0" w:line="240" w:lineRule="auto"/>
        <w:jc w:val="both"/>
        <w:rPr>
          <w:rFonts w:ascii="Times New Roman" w:hAnsi="Times New Roman" w:cs="Times New Roman"/>
          <w:i/>
          <w:sz w:val="24"/>
          <w:szCs w:val="24"/>
        </w:rPr>
      </w:pPr>
    </w:p>
    <w:p w14:paraId="500A3AC8" w14:textId="365AA1AE" w:rsidR="00B26D46" w:rsidRPr="00E533A0" w:rsidRDefault="009E145B" w:rsidP="00B26D46">
      <w:pPr>
        <w:shd w:val="clear" w:color="auto" w:fill="FFFFFF"/>
        <w:spacing w:after="0" w:line="240" w:lineRule="auto"/>
        <w:jc w:val="both"/>
        <w:rPr>
          <w:rFonts w:ascii="Times New Roman" w:eastAsia="Times New Roman" w:hAnsi="Times New Roman" w:cs="Times New Roman"/>
          <w:b/>
          <w:sz w:val="24"/>
          <w:szCs w:val="24"/>
          <w:lang w:eastAsia="hr-HR"/>
        </w:rPr>
      </w:pPr>
      <w:r w:rsidRPr="00E533A0">
        <w:rPr>
          <w:rFonts w:ascii="Times New Roman" w:hAnsi="Times New Roman" w:cs="Times New Roman"/>
          <w:b/>
          <w:sz w:val="24"/>
          <w:szCs w:val="24"/>
        </w:rPr>
        <w:t xml:space="preserve">3.4.3. </w:t>
      </w:r>
      <w:r w:rsidR="00B8517F" w:rsidRPr="00E533A0">
        <w:rPr>
          <w:rFonts w:ascii="Times New Roman" w:hAnsi="Times New Roman" w:cs="Times New Roman"/>
          <w:b/>
          <w:sz w:val="24"/>
          <w:szCs w:val="24"/>
        </w:rPr>
        <w:t>Slučajevi pranja novca povezana s predik</w:t>
      </w:r>
      <w:r w:rsidR="00F4496B" w:rsidRPr="00E533A0">
        <w:rPr>
          <w:rFonts w:ascii="Times New Roman" w:hAnsi="Times New Roman" w:cs="Times New Roman"/>
          <w:b/>
          <w:sz w:val="24"/>
          <w:szCs w:val="24"/>
        </w:rPr>
        <w:t>atnim kaznenim djelom prijevara</w:t>
      </w:r>
      <w:r w:rsidR="00B8517F" w:rsidRPr="00E533A0">
        <w:rPr>
          <w:rFonts w:ascii="Times New Roman" w:hAnsi="Times New Roman" w:cs="Times New Roman"/>
          <w:b/>
          <w:sz w:val="24"/>
          <w:szCs w:val="24"/>
        </w:rPr>
        <w:t xml:space="preserve"> </w:t>
      </w:r>
      <w:r w:rsidR="00B8517F" w:rsidRPr="00E533A0">
        <w:rPr>
          <w:rFonts w:ascii="Times New Roman" w:eastAsia="Times New Roman" w:hAnsi="Times New Roman" w:cs="Times New Roman"/>
          <w:b/>
          <w:sz w:val="24"/>
          <w:szCs w:val="24"/>
          <w:lang w:eastAsia="hr-HR"/>
        </w:rPr>
        <w:t>u okviru kojih je utv</w:t>
      </w:r>
      <w:r w:rsidR="00B26D46" w:rsidRPr="00E533A0">
        <w:rPr>
          <w:rFonts w:ascii="Times New Roman" w:eastAsia="Times New Roman" w:hAnsi="Times New Roman" w:cs="Times New Roman"/>
          <w:b/>
          <w:sz w:val="24"/>
          <w:szCs w:val="24"/>
          <w:lang w:eastAsia="hr-HR"/>
        </w:rPr>
        <w:t xml:space="preserve">rđena zlouporaba pravnih osoba </w:t>
      </w:r>
    </w:p>
    <w:p w14:paraId="337DF222" w14:textId="77777777" w:rsidR="00B26D46" w:rsidRDefault="00B26D46" w:rsidP="00B26D46">
      <w:pPr>
        <w:shd w:val="clear" w:color="auto" w:fill="FFFFFF"/>
        <w:spacing w:after="0" w:line="240" w:lineRule="auto"/>
        <w:jc w:val="both"/>
        <w:rPr>
          <w:rFonts w:ascii="Times New Roman" w:eastAsia="Times New Roman" w:hAnsi="Times New Roman" w:cs="Times New Roman"/>
          <w:b/>
          <w:i/>
          <w:sz w:val="24"/>
          <w:szCs w:val="24"/>
          <w:lang w:eastAsia="hr-HR"/>
        </w:rPr>
      </w:pPr>
    </w:p>
    <w:p w14:paraId="01BED646" w14:textId="32A0CD42" w:rsidR="00B8517F" w:rsidRDefault="00B8517F" w:rsidP="00B26D46">
      <w:pPr>
        <w:shd w:val="clear" w:color="auto" w:fill="FFFFFF"/>
        <w:spacing w:after="0" w:line="240" w:lineRule="auto"/>
        <w:jc w:val="both"/>
        <w:rPr>
          <w:rFonts w:ascii="Times New Roman" w:eastAsia="Calibri" w:hAnsi="Times New Roman" w:cs="Times New Roman"/>
          <w:sz w:val="24"/>
          <w:szCs w:val="24"/>
        </w:rPr>
      </w:pPr>
      <w:r w:rsidRPr="00E533A0">
        <w:rPr>
          <w:rFonts w:ascii="Times New Roman" w:eastAsiaTheme="minorEastAsia" w:hAnsi="Times New Roman" w:cs="Times New Roman"/>
          <w:sz w:val="24"/>
          <w:szCs w:val="24"/>
        </w:rPr>
        <w:t>Strani državljani s područja jedne države članice EU osnivaju tvrtke bez stvarne namjere obavljanja poslovne aktivnosti te otvaraju račune u poslovnim bankama na području Republike Hrvatske na koje se transferira novac za koji se sumnja da potječe uglavnom od organiziranih investicijskih prijevara počinjenih u inozemstvu, a zatim se putem internetskog bankarstva, odmah po prispijeću, novac dalje transferira na račune uglavnom pravnih osoba u Kini i Hong Kongu.</w:t>
      </w:r>
      <w:r w:rsidRPr="00E533A0">
        <w:rPr>
          <w:rFonts w:ascii="Times New Roman" w:eastAsia="Calibri" w:hAnsi="Times New Roman" w:cs="Times New Roman"/>
          <w:sz w:val="24"/>
          <w:szCs w:val="24"/>
        </w:rPr>
        <w:t xml:space="preserve"> Navedene slučajeve Ured je otvorio temeljem zaprimljenih obavijesti o sumnjivim transakcijama od banke, zamolbi jedne inozemne financijsko </w:t>
      </w:r>
      <w:r w:rsidR="00E22115" w:rsidRPr="00E533A0">
        <w:rPr>
          <w:rFonts w:ascii="Times New Roman" w:eastAsia="Calibri" w:hAnsi="Times New Roman" w:cs="Times New Roman"/>
          <w:sz w:val="24"/>
          <w:szCs w:val="24"/>
        </w:rPr>
        <w:t xml:space="preserve">obavještajne jedinice </w:t>
      </w:r>
      <w:r w:rsidRPr="00E533A0">
        <w:rPr>
          <w:rFonts w:ascii="Times New Roman" w:eastAsia="Calibri" w:hAnsi="Times New Roman" w:cs="Times New Roman"/>
          <w:sz w:val="24"/>
          <w:szCs w:val="24"/>
        </w:rPr>
        <w:t>te MUP-a.</w:t>
      </w:r>
      <w:r w:rsidR="003656CA" w:rsidRPr="00E533A0">
        <w:rPr>
          <w:rFonts w:ascii="Times New Roman" w:eastAsia="Calibri" w:hAnsi="Times New Roman" w:cs="Times New Roman"/>
          <w:sz w:val="24"/>
          <w:szCs w:val="24"/>
        </w:rPr>
        <w:t xml:space="preserve"> </w:t>
      </w:r>
      <w:r w:rsidRPr="00E533A0">
        <w:rPr>
          <w:rFonts w:ascii="Times New Roman" w:eastAsia="Calibri" w:hAnsi="Times New Roman" w:cs="Times New Roman"/>
          <w:sz w:val="24"/>
          <w:szCs w:val="24"/>
        </w:rPr>
        <w:t xml:space="preserve">Na temelju tih obavijesti i dodatnih provjera kod banaka Ured je slučajeve sa sumnjom na pranje novca dostavio nadležnim državnim odvjetništvima i policiji. </w:t>
      </w:r>
    </w:p>
    <w:p w14:paraId="5DEF2402" w14:textId="3A0A77D2" w:rsidR="00973499" w:rsidRDefault="00973499" w:rsidP="00B26D46">
      <w:pPr>
        <w:shd w:val="clear" w:color="auto" w:fill="FFFFFF"/>
        <w:spacing w:after="0" w:line="240" w:lineRule="auto"/>
        <w:jc w:val="both"/>
        <w:rPr>
          <w:rFonts w:ascii="Times New Roman" w:eastAsia="Calibri" w:hAnsi="Times New Roman" w:cs="Times New Roman"/>
          <w:sz w:val="24"/>
          <w:szCs w:val="24"/>
        </w:rPr>
      </w:pPr>
    </w:p>
    <w:p w14:paraId="3EA37A2C" w14:textId="77777777" w:rsidR="00973499" w:rsidRPr="00E533A0" w:rsidRDefault="00973499" w:rsidP="00B26D46">
      <w:pPr>
        <w:shd w:val="clear" w:color="auto" w:fill="FFFFFF"/>
        <w:spacing w:after="0" w:line="240" w:lineRule="auto"/>
        <w:jc w:val="both"/>
        <w:rPr>
          <w:rFonts w:ascii="Times New Roman" w:eastAsia="Times New Roman" w:hAnsi="Times New Roman" w:cs="Times New Roman"/>
          <w:b/>
          <w:sz w:val="24"/>
          <w:szCs w:val="24"/>
          <w:lang w:eastAsia="hr-HR"/>
        </w:rPr>
      </w:pPr>
    </w:p>
    <w:p w14:paraId="414AF9FF" w14:textId="7CC6B093" w:rsidR="00973499" w:rsidRPr="00F3218D" w:rsidRDefault="00973499" w:rsidP="00973499">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3.4.4. </w:t>
      </w:r>
      <w:r w:rsidRPr="00F3218D">
        <w:rPr>
          <w:rFonts w:ascii="Times New Roman" w:eastAsia="Calibri" w:hAnsi="Times New Roman" w:cs="Times New Roman"/>
          <w:b/>
          <w:bCs/>
          <w:sz w:val="24"/>
          <w:szCs w:val="24"/>
        </w:rPr>
        <w:t xml:space="preserve">Slučaj pranja novca povezan sa predikatnim porezno kaznenim djelom </w:t>
      </w:r>
    </w:p>
    <w:p w14:paraId="74657C8E" w14:textId="77777777" w:rsidR="00973499" w:rsidRPr="00F3218D" w:rsidRDefault="00973499" w:rsidP="00973499">
      <w:pPr>
        <w:spacing w:after="0" w:line="240" w:lineRule="auto"/>
        <w:rPr>
          <w:rFonts w:ascii="Times New Roman" w:eastAsia="Calibri" w:hAnsi="Times New Roman" w:cs="Times New Roman"/>
          <w:b/>
          <w:bCs/>
          <w:sz w:val="24"/>
          <w:szCs w:val="24"/>
        </w:rPr>
      </w:pPr>
    </w:p>
    <w:p w14:paraId="74685A61" w14:textId="77777777" w:rsidR="00973499" w:rsidRPr="00F3218D" w:rsidRDefault="00973499" w:rsidP="00973499">
      <w:pPr>
        <w:spacing w:after="0" w:line="240" w:lineRule="auto"/>
        <w:jc w:val="both"/>
        <w:rPr>
          <w:rFonts w:ascii="Times New Roman" w:eastAsia="Calibri" w:hAnsi="Times New Roman" w:cs="Times New Roman"/>
          <w:sz w:val="24"/>
          <w:szCs w:val="24"/>
        </w:rPr>
      </w:pPr>
      <w:r w:rsidRPr="00F3218D">
        <w:rPr>
          <w:rFonts w:ascii="Times New Roman" w:eastAsia="Calibri" w:hAnsi="Times New Roman" w:cs="Times New Roman"/>
          <w:sz w:val="24"/>
          <w:szCs w:val="24"/>
        </w:rPr>
        <w:t>Ured je započeo operativnu analizu transakcija i osoba temeljem obavijesti banke o sumnjivim transakcijama koje se odnose na podizanje gotovine sa računa tvrtke.</w:t>
      </w:r>
    </w:p>
    <w:p w14:paraId="626032BF" w14:textId="77777777" w:rsidR="00973499" w:rsidRPr="00F3218D" w:rsidRDefault="00973499" w:rsidP="00973499">
      <w:pPr>
        <w:spacing w:after="0" w:line="240" w:lineRule="auto"/>
        <w:jc w:val="both"/>
        <w:rPr>
          <w:rFonts w:ascii="Times New Roman" w:eastAsia="Calibri" w:hAnsi="Times New Roman" w:cs="Times New Roman"/>
          <w:sz w:val="24"/>
          <w:szCs w:val="24"/>
        </w:rPr>
      </w:pPr>
      <w:r w:rsidRPr="00F3218D">
        <w:rPr>
          <w:rFonts w:ascii="Times New Roman" w:eastAsia="Calibri" w:hAnsi="Times New Roman" w:cs="Times New Roman"/>
          <w:sz w:val="24"/>
          <w:szCs w:val="24"/>
        </w:rPr>
        <w:t>Operativnom analizom od strane Ureda utvrđeno je da su na račun predmetne tvrtke u malo više od godinu dana evidentirane uplate u iznosu od najmanje 9,6 milijuna kuna. Većina uplata izvršena je s računa tri tvrtke od kojih dvije imaju istog vlasnika.</w:t>
      </w:r>
    </w:p>
    <w:p w14:paraId="1F87BECD" w14:textId="77777777" w:rsidR="00973499" w:rsidRPr="00F3218D" w:rsidRDefault="00973499" w:rsidP="00973499">
      <w:pPr>
        <w:spacing w:after="0" w:line="240" w:lineRule="auto"/>
        <w:jc w:val="both"/>
        <w:rPr>
          <w:rFonts w:ascii="Times New Roman" w:eastAsia="Calibri" w:hAnsi="Times New Roman" w:cs="Times New Roman"/>
          <w:sz w:val="24"/>
          <w:szCs w:val="24"/>
        </w:rPr>
      </w:pPr>
      <w:r w:rsidRPr="00F3218D">
        <w:rPr>
          <w:rFonts w:ascii="Times New Roman" w:eastAsia="Calibri" w:hAnsi="Times New Roman" w:cs="Times New Roman"/>
          <w:sz w:val="24"/>
          <w:szCs w:val="24"/>
        </w:rPr>
        <w:t>Nakon uplata novac u iznosu od najmanje 4,3 milijuna kuna je podignut u gotovini (na bankomatima ili šalterima u poslovnicama banke) a dio u iznosu od najmanje 3,8 milijuna kuna  posredstvom računa četiriju tek novoosnovanih tvrtki transferiran u inozemstvo.</w:t>
      </w:r>
    </w:p>
    <w:p w14:paraId="35AF8A27" w14:textId="77777777" w:rsidR="00973499" w:rsidRPr="00F3218D" w:rsidRDefault="00973499" w:rsidP="00973499">
      <w:pPr>
        <w:spacing w:after="0" w:line="240" w:lineRule="auto"/>
        <w:jc w:val="both"/>
        <w:rPr>
          <w:rFonts w:ascii="Times New Roman" w:eastAsia="Calibri" w:hAnsi="Times New Roman" w:cs="Times New Roman"/>
          <w:sz w:val="24"/>
          <w:szCs w:val="24"/>
        </w:rPr>
      </w:pPr>
      <w:r w:rsidRPr="00F3218D">
        <w:rPr>
          <w:rFonts w:ascii="Times New Roman" w:eastAsia="Calibri" w:hAnsi="Times New Roman" w:cs="Times New Roman"/>
          <w:sz w:val="24"/>
          <w:szCs w:val="24"/>
        </w:rPr>
        <w:t>Isplate gotovine s računa predmetne tvrtke bile su u manjim iznosima ali su s</w:t>
      </w:r>
      <w:r>
        <w:rPr>
          <w:rFonts w:ascii="Times New Roman" w:eastAsia="Calibri" w:hAnsi="Times New Roman" w:cs="Times New Roman"/>
          <w:sz w:val="24"/>
          <w:szCs w:val="24"/>
        </w:rPr>
        <w:t>e</w:t>
      </w:r>
      <w:r w:rsidRPr="00F3218D">
        <w:rPr>
          <w:rFonts w:ascii="Times New Roman" w:eastAsia="Calibri" w:hAnsi="Times New Roman" w:cs="Times New Roman"/>
          <w:sz w:val="24"/>
          <w:szCs w:val="24"/>
        </w:rPr>
        <w:t xml:space="preserve"> obavljale svakodnevno. Kod najvećeg broja isplata gotovine sa računa predmetne tvrtke se navodilo da je svrha isplate u gotovini pozajmica vlasniku ili za potrebe blagajne.  </w:t>
      </w:r>
    </w:p>
    <w:p w14:paraId="2A53BF2E" w14:textId="77777777" w:rsidR="00973499" w:rsidRPr="00F3218D" w:rsidRDefault="00973499" w:rsidP="00973499">
      <w:pPr>
        <w:spacing w:after="0" w:line="240" w:lineRule="auto"/>
        <w:jc w:val="both"/>
        <w:rPr>
          <w:rFonts w:ascii="Times New Roman" w:eastAsia="Calibri" w:hAnsi="Times New Roman" w:cs="Times New Roman"/>
          <w:sz w:val="24"/>
          <w:szCs w:val="24"/>
        </w:rPr>
      </w:pPr>
      <w:r w:rsidRPr="00F3218D">
        <w:rPr>
          <w:rFonts w:ascii="Times New Roman" w:eastAsia="Calibri" w:hAnsi="Times New Roman" w:cs="Times New Roman"/>
          <w:sz w:val="24"/>
          <w:szCs w:val="24"/>
        </w:rPr>
        <w:t xml:space="preserve">Nadalje, analitičkom obradom je utvrđeno da je vlasnik predmetne tvrtke evidentiran u policijskim evidencijama vezano za počinjenje kaznenih djela krivotvorenja službenih isprava i zlouporabe položaja i ovlasti a direktori /vlasnici četiriju novoosnovanih tvrtki preko čijih računa je dio sredstava transferiran u inozemstvo su evidentirani u policijskim evidencijama za počinjenje više kaznenih djela (kaznena djela krađe i teške krađe kao i neovlaštene proizvodnje i prometa droge). Ured je sukladno odredbama čl. 119. Zakona izdao banci u kojoj predmetna </w:t>
      </w:r>
      <w:r w:rsidRPr="00F3218D">
        <w:rPr>
          <w:rFonts w:ascii="Times New Roman" w:eastAsia="Calibri" w:hAnsi="Times New Roman" w:cs="Times New Roman"/>
          <w:sz w:val="24"/>
          <w:szCs w:val="24"/>
        </w:rPr>
        <w:lastRenderedPageBreak/>
        <w:t>tvrtka ima otvoren račun nalog za stalno praćenje financijskog poslovanja tvrtke te sukladno čl. 117. Zakona nalog za privremeno zaustavljanje obavljanja sumnjive transakcije po računu predmetne tvrtke   ukupnom iznosu od 66.000 kuna o čemu je obavijestio DORH te nadležno državno odvjetništvo.</w:t>
      </w:r>
      <w:r w:rsidRPr="00F3218D">
        <w:rPr>
          <w:rFonts w:ascii="Times New Roman" w:eastAsia="Calibri" w:hAnsi="Times New Roman" w:cs="Times New Roman"/>
          <w:sz w:val="24"/>
          <w:szCs w:val="24"/>
          <w:lang w:eastAsia="hr-HR"/>
        </w:rPr>
        <w:t xml:space="preserve"> </w:t>
      </w:r>
    </w:p>
    <w:p w14:paraId="69DA0659" w14:textId="77777777" w:rsidR="00973499" w:rsidRPr="00F3218D" w:rsidRDefault="00973499" w:rsidP="00973499">
      <w:pPr>
        <w:spacing w:after="0" w:line="240" w:lineRule="auto"/>
        <w:jc w:val="both"/>
        <w:rPr>
          <w:rFonts w:ascii="Times New Roman" w:eastAsia="Calibri" w:hAnsi="Times New Roman" w:cs="Times New Roman"/>
          <w:sz w:val="24"/>
          <w:szCs w:val="24"/>
        </w:rPr>
      </w:pPr>
      <w:r w:rsidRPr="00F3218D">
        <w:rPr>
          <w:rFonts w:ascii="Times New Roman" w:eastAsia="Calibri" w:hAnsi="Times New Roman" w:cs="Times New Roman"/>
          <w:sz w:val="24"/>
          <w:szCs w:val="24"/>
        </w:rPr>
        <w:t>Slijedom prikupljenih podataka u operativnoj analizi sumnjivih transakcija i osoba utvrđena je sumnja da je gotovina koja je podignuta s računa predmetnih tvrtki stečena na nezakoniti način  (tvrtke izdaju neistinite račune o navodno isporučenoj robi ili usluzi temeljem kojih nezakonito ostvaruju povrat poreza na dodanu vrijednost a novac koji se temeljem nezakonitog povrata poreza na dodanu vrijednost uplaćuje na račune tvrtki se podiže u gotovini).</w:t>
      </w:r>
    </w:p>
    <w:p w14:paraId="6C327ED6" w14:textId="77777777" w:rsidR="00973499" w:rsidRPr="00F3218D" w:rsidRDefault="00973499" w:rsidP="00973499">
      <w:pPr>
        <w:spacing w:after="0" w:line="240" w:lineRule="auto"/>
        <w:jc w:val="both"/>
        <w:rPr>
          <w:rFonts w:ascii="Times New Roman" w:eastAsia="Calibri" w:hAnsi="Times New Roman" w:cs="Times New Roman"/>
          <w:bCs/>
          <w:sz w:val="24"/>
          <w:szCs w:val="24"/>
        </w:rPr>
      </w:pPr>
    </w:p>
    <w:p w14:paraId="6838D745" w14:textId="77777777" w:rsidR="00973499" w:rsidRPr="00F3218D" w:rsidRDefault="00973499" w:rsidP="00973499">
      <w:pPr>
        <w:spacing w:after="0" w:line="240" w:lineRule="auto"/>
        <w:jc w:val="both"/>
        <w:rPr>
          <w:rFonts w:ascii="Times New Roman" w:eastAsia="Calibri" w:hAnsi="Times New Roman" w:cs="Times New Roman"/>
          <w:sz w:val="24"/>
          <w:szCs w:val="24"/>
          <w:highlight w:val="lightGray"/>
        </w:rPr>
      </w:pPr>
    </w:p>
    <w:p w14:paraId="67A751E6" w14:textId="72DD26EB" w:rsidR="00973499" w:rsidRPr="00F3218D" w:rsidRDefault="00973499" w:rsidP="00973499">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3.4.5. </w:t>
      </w:r>
      <w:r w:rsidRPr="00F3218D">
        <w:rPr>
          <w:rFonts w:ascii="Times New Roman" w:eastAsia="Calibri" w:hAnsi="Times New Roman" w:cs="Times New Roman"/>
          <w:b/>
          <w:bCs/>
          <w:sz w:val="24"/>
          <w:szCs w:val="24"/>
        </w:rPr>
        <w:t xml:space="preserve">Slučaj pranja novca povezan sa predikatnim koruptivnim kaznenim djelom </w:t>
      </w:r>
    </w:p>
    <w:p w14:paraId="18FDCA9C" w14:textId="77777777" w:rsidR="00973499" w:rsidRPr="00F3218D" w:rsidRDefault="00973499" w:rsidP="00973499">
      <w:pPr>
        <w:spacing w:after="0" w:line="240" w:lineRule="auto"/>
        <w:jc w:val="both"/>
        <w:rPr>
          <w:rFonts w:ascii="Times New Roman" w:eastAsia="Calibri" w:hAnsi="Times New Roman" w:cs="Times New Roman"/>
          <w:b/>
          <w:bCs/>
          <w:sz w:val="24"/>
          <w:szCs w:val="24"/>
          <w:u w:val="single"/>
        </w:rPr>
      </w:pPr>
    </w:p>
    <w:p w14:paraId="5B528548" w14:textId="77777777" w:rsidR="00973499" w:rsidRPr="00F3218D" w:rsidRDefault="00973499" w:rsidP="00973499">
      <w:pPr>
        <w:spacing w:after="0" w:line="240" w:lineRule="auto"/>
        <w:jc w:val="both"/>
        <w:rPr>
          <w:rFonts w:ascii="Times New Roman" w:eastAsia="Calibri" w:hAnsi="Times New Roman" w:cs="Times New Roman"/>
          <w:sz w:val="24"/>
          <w:szCs w:val="24"/>
        </w:rPr>
      </w:pPr>
      <w:r w:rsidRPr="00F3218D">
        <w:rPr>
          <w:rFonts w:ascii="Times New Roman" w:eastAsia="Calibri" w:hAnsi="Times New Roman" w:cs="Times New Roman"/>
          <w:sz w:val="24"/>
          <w:szCs w:val="24"/>
        </w:rPr>
        <w:t>Ured je započeo operativnu analizu transakcija i osoba temeljem obavijesti banke o sumnjivim transakcijama vezane za podizanje gotovine s računa fizičke osobe.</w:t>
      </w:r>
      <w:r w:rsidRPr="00F3218D">
        <w:rPr>
          <w:rFonts w:ascii="Times New Roman" w:eastAsia="Calibri" w:hAnsi="Times New Roman" w:cs="Times New Roman"/>
          <w:b/>
          <w:sz w:val="24"/>
          <w:szCs w:val="24"/>
        </w:rPr>
        <w:t xml:space="preserve"> </w:t>
      </w:r>
      <w:r w:rsidRPr="00F3218D">
        <w:rPr>
          <w:rFonts w:ascii="Times New Roman" w:eastAsia="Calibri" w:hAnsi="Times New Roman" w:cs="Times New Roman"/>
          <w:sz w:val="24"/>
          <w:szCs w:val="24"/>
        </w:rPr>
        <w:t>Operativnom analizom od strane Ureda utvrđeno je da je predmetnoj fizičkoj osobi, na njen tekući račun uplaćen iznos od najmanje 6,7 milijuna kuna (6,1 milijuna kuna s računa tvrtke čiji vlasnik je predmetna fizička osoba u svrhu isplate dobiti te 0,6 milijuna kuna s računa druge tvrtke koja je u vlasništvu dviju osoba koje su rodbinski povezane s predmetnom fizičkom osobama u svrhu povrata pozajmice). Najveći dio navedenih uplata potječe od dviju tvrtki u vlasništvu države te tvrtke čiji stvarni vlasnici su strani državljani. Nadalje analitičkom obradom utvrđeno je da su poslovni rezultati tvrtke čiji vlasnik je predmetna fizička osoba znatno porasli u odnosu na ranije razdoblje poslovanja.</w:t>
      </w:r>
    </w:p>
    <w:p w14:paraId="07D0075B" w14:textId="77777777" w:rsidR="00973499" w:rsidRDefault="00973499" w:rsidP="00973499">
      <w:pPr>
        <w:spacing w:after="0" w:line="240" w:lineRule="auto"/>
        <w:jc w:val="both"/>
        <w:rPr>
          <w:rFonts w:ascii="Times New Roman" w:eastAsia="Calibri" w:hAnsi="Times New Roman" w:cs="Times New Roman"/>
          <w:sz w:val="24"/>
          <w:szCs w:val="24"/>
        </w:rPr>
      </w:pPr>
      <w:r w:rsidRPr="00F3218D">
        <w:rPr>
          <w:rFonts w:ascii="Times New Roman" w:eastAsia="Calibri" w:hAnsi="Times New Roman" w:cs="Times New Roman"/>
          <w:sz w:val="24"/>
          <w:szCs w:val="24"/>
        </w:rPr>
        <w:t xml:space="preserve">Novac u ukupnom iznosu od 6,1 milijuna kuna koji je predmetna fizička osoba na ime isplate dobiti primila od tvrtke na svoj tekući račun je odmah po zaprimanju podizala u gotovinu (prvog sljedećeg dana nakon uplata slijedilo je podizanje gotovine). </w:t>
      </w:r>
    </w:p>
    <w:p w14:paraId="52B6EC9F" w14:textId="77777777" w:rsidR="00973499" w:rsidRPr="00F3218D" w:rsidRDefault="00973499" w:rsidP="00973499">
      <w:pPr>
        <w:spacing w:after="0" w:line="240" w:lineRule="auto"/>
        <w:jc w:val="both"/>
        <w:rPr>
          <w:rFonts w:ascii="Times New Roman" w:eastAsia="Calibri" w:hAnsi="Times New Roman" w:cs="Times New Roman"/>
          <w:b/>
          <w:bCs/>
          <w:sz w:val="24"/>
          <w:szCs w:val="24"/>
          <w:u w:val="single"/>
        </w:rPr>
      </w:pPr>
      <w:r w:rsidRPr="00F3218D">
        <w:rPr>
          <w:rFonts w:ascii="Times New Roman" w:eastAsia="Calibri" w:hAnsi="Times New Roman" w:cs="Times New Roman"/>
          <w:sz w:val="24"/>
          <w:szCs w:val="24"/>
        </w:rPr>
        <w:t xml:space="preserve">Slijedom prikupljenih podataka u operativnoj analizi sumnjivih transakcija i osoba utvrđena je sumnja u ekonomsku opravdanost transakcija izvršenih po računu predmetne fizičke osobe obzirom da ista odmah po zaprimanju uplata s osnove dobiti tvrtke (ostvarenu najvećim djelom kroz poslovanje s tvrtkama u vlasništvu države) uplaćeni novca podiže u gotovini odnosno postoji sumnja da gotovina koju je podigla s tekućeg računa možebitno potječe od koruptivnih kaznenih djela. </w:t>
      </w:r>
    </w:p>
    <w:p w14:paraId="4EA0834D" w14:textId="77777777" w:rsidR="00973499" w:rsidRPr="00F3218D" w:rsidRDefault="00973499" w:rsidP="00973499">
      <w:pPr>
        <w:spacing w:after="0" w:line="240" w:lineRule="auto"/>
        <w:jc w:val="both"/>
        <w:rPr>
          <w:rFonts w:ascii="Times New Roman" w:eastAsia="Calibri" w:hAnsi="Times New Roman" w:cs="Times New Roman"/>
          <w:b/>
          <w:sz w:val="24"/>
          <w:szCs w:val="24"/>
        </w:rPr>
      </w:pPr>
    </w:p>
    <w:p w14:paraId="7ED9FE41" w14:textId="7B473D87" w:rsidR="00973499" w:rsidRPr="00F3218D" w:rsidRDefault="00973499" w:rsidP="00973499">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3.4.6. </w:t>
      </w:r>
      <w:r w:rsidRPr="00F3218D">
        <w:rPr>
          <w:rFonts w:ascii="Times New Roman" w:eastAsia="Calibri" w:hAnsi="Times New Roman" w:cs="Times New Roman"/>
          <w:b/>
          <w:bCs/>
          <w:sz w:val="24"/>
          <w:szCs w:val="24"/>
        </w:rPr>
        <w:t xml:space="preserve">Slučaj pranja novca povezan sa predikatnim kaznenim djelom prijevara </w:t>
      </w:r>
    </w:p>
    <w:p w14:paraId="0BFC094A" w14:textId="77777777" w:rsidR="00973499" w:rsidRPr="00F3218D" w:rsidRDefault="00973499" w:rsidP="00973499">
      <w:pPr>
        <w:spacing w:after="0" w:line="240" w:lineRule="auto"/>
        <w:jc w:val="both"/>
        <w:rPr>
          <w:rFonts w:ascii="Times New Roman" w:eastAsia="Calibri" w:hAnsi="Times New Roman" w:cs="Times New Roman"/>
          <w:bCs/>
          <w:sz w:val="24"/>
          <w:szCs w:val="24"/>
        </w:rPr>
      </w:pPr>
    </w:p>
    <w:p w14:paraId="5EFD1128" w14:textId="77777777" w:rsidR="00973499" w:rsidRPr="00F3218D" w:rsidRDefault="00973499" w:rsidP="00973499">
      <w:pPr>
        <w:spacing w:after="0" w:line="240" w:lineRule="auto"/>
        <w:jc w:val="both"/>
        <w:rPr>
          <w:rFonts w:ascii="Times New Roman" w:eastAsia="Calibri" w:hAnsi="Times New Roman" w:cs="Times New Roman"/>
          <w:sz w:val="24"/>
          <w:szCs w:val="24"/>
        </w:rPr>
      </w:pPr>
      <w:r w:rsidRPr="00F3218D">
        <w:rPr>
          <w:rFonts w:ascii="Times New Roman" w:eastAsia="Calibri" w:hAnsi="Times New Roman" w:cs="Times New Roman"/>
          <w:bCs/>
          <w:sz w:val="24"/>
          <w:szCs w:val="24"/>
        </w:rPr>
        <w:t>U</w:t>
      </w:r>
      <w:r w:rsidRPr="00F3218D">
        <w:rPr>
          <w:rFonts w:ascii="Times New Roman" w:eastAsia="Calibri" w:hAnsi="Times New Roman" w:cs="Times New Roman"/>
          <w:sz w:val="24"/>
          <w:szCs w:val="24"/>
        </w:rPr>
        <w:t>red je započeo operativnu analizu transakcija i osoba temeljem obavijesti banke o sumnjivoj transakciji po računu strane fizičke osobe u iznosu od 1 milijun eura. Operativnom analizom od strane Ureda utvrđeno je da strana fizička osoba iz Njemačke ima otvoren nerezidentni račun u banci u RH u korist kojeg su najvećim djelom sredstva doznačena iz Slovačke i Velike Britanije po nalogu stranih pravnih osoba (iz Slovačke, Velike Britanije, Njemačke). Direktori slovačkih pravnih osoba su dvije srbijanske državljanke. Nadalje, analitičkom obradom utvrđeno je da su po računima nekih od stranih pravnih osoba otvorenih u bankama u Slovačkoj evidentirane transakcije (uplate iz Njemačke) koje uključuju sredstava za koja postoji sumnja da potječu od investicijskih prijevara u Njemačkoj.</w:t>
      </w:r>
    </w:p>
    <w:p w14:paraId="2D880AFE" w14:textId="77777777" w:rsidR="00973499" w:rsidRPr="00F3218D" w:rsidRDefault="00973499" w:rsidP="00973499">
      <w:pPr>
        <w:spacing w:after="0" w:line="240" w:lineRule="auto"/>
        <w:jc w:val="both"/>
        <w:rPr>
          <w:rFonts w:ascii="Times New Roman" w:eastAsia="Calibri" w:hAnsi="Times New Roman" w:cs="Times New Roman"/>
          <w:sz w:val="24"/>
          <w:szCs w:val="24"/>
        </w:rPr>
      </w:pPr>
      <w:r w:rsidRPr="00F3218D">
        <w:rPr>
          <w:rFonts w:ascii="Times New Roman" w:eastAsia="Calibri" w:hAnsi="Times New Roman" w:cs="Times New Roman"/>
          <w:sz w:val="24"/>
          <w:szCs w:val="24"/>
        </w:rPr>
        <w:t xml:space="preserve">Predmetna strana fizička osoba je direktor jedne srbijanske pravne osobe čiji stvarni vlasnici , izraelski državljani su bili uhićeni zbog sumnje na počinjenje kaznenog djela investicijske prijevare (krađa nekoliko milijuna eura od ulagača) i pranje novca. </w:t>
      </w:r>
    </w:p>
    <w:p w14:paraId="571A757C" w14:textId="77777777" w:rsidR="00973499" w:rsidRPr="00F3218D" w:rsidRDefault="00973499" w:rsidP="00973499">
      <w:pPr>
        <w:autoSpaceDE w:val="0"/>
        <w:autoSpaceDN w:val="0"/>
        <w:adjustRightInd w:val="0"/>
        <w:spacing w:after="0" w:line="240" w:lineRule="auto"/>
        <w:jc w:val="both"/>
        <w:rPr>
          <w:rFonts w:ascii="Times New Roman" w:eastAsia="Calibri" w:hAnsi="Times New Roman" w:cs="Times New Roman"/>
          <w:sz w:val="24"/>
          <w:szCs w:val="24"/>
        </w:rPr>
      </w:pPr>
      <w:r w:rsidRPr="00F3218D">
        <w:rPr>
          <w:rFonts w:ascii="Times New Roman" w:eastAsia="Calibri" w:hAnsi="Times New Roman" w:cs="Times New Roman"/>
          <w:sz w:val="24"/>
          <w:szCs w:val="24"/>
        </w:rPr>
        <w:t xml:space="preserve">Obzirom na utvrđenu sumnju da se račun predmetnog stranog državljanina koristi za prikrivanje pravnog izvora novca koji potječe od kaznenog djela prijevara Ured je sukladno svojim ovlastima (članka 117. Zakona) izdao banci u kojoj predmetni strani državljanin ima </w:t>
      </w:r>
      <w:r w:rsidRPr="00F3218D">
        <w:rPr>
          <w:rFonts w:ascii="Times New Roman" w:eastAsia="Calibri" w:hAnsi="Times New Roman" w:cs="Times New Roman"/>
          <w:sz w:val="24"/>
          <w:szCs w:val="24"/>
        </w:rPr>
        <w:lastRenderedPageBreak/>
        <w:t>otvoren račun nalog za privremeno zaustavljanje obavljanja sumnjive transakcije u ukupnom iznosu od 1,18 milijun eura o čemu je obavijestio DORH te nadležno državno odvjetništvo.</w:t>
      </w:r>
      <w:r w:rsidRPr="00F3218D">
        <w:rPr>
          <w:rFonts w:ascii="Times New Roman" w:eastAsia="Calibri" w:hAnsi="Times New Roman" w:cs="Times New Roman"/>
          <w:sz w:val="24"/>
          <w:szCs w:val="24"/>
          <w:lang w:eastAsia="hr-HR"/>
        </w:rPr>
        <w:t xml:space="preserve"> </w:t>
      </w:r>
    </w:p>
    <w:p w14:paraId="2D19ED44" w14:textId="77777777" w:rsidR="00973499" w:rsidRDefault="00973499" w:rsidP="00973499">
      <w:pPr>
        <w:spacing w:after="0" w:line="240" w:lineRule="auto"/>
        <w:jc w:val="both"/>
        <w:rPr>
          <w:rFonts w:ascii="Times New Roman" w:eastAsia="Times New Roman" w:hAnsi="Times New Roman" w:cs="Times New Roman"/>
          <w:iCs/>
          <w:sz w:val="24"/>
          <w:szCs w:val="24"/>
          <w:lang w:eastAsia="hr-HR"/>
        </w:rPr>
      </w:pPr>
      <w:r w:rsidRPr="00F3218D">
        <w:rPr>
          <w:rFonts w:ascii="Times New Roman" w:eastAsia="Times New Roman" w:hAnsi="Times New Roman" w:cs="Times New Roman"/>
          <w:iCs/>
          <w:sz w:val="24"/>
          <w:szCs w:val="24"/>
          <w:lang w:eastAsia="hr-HR"/>
        </w:rPr>
        <w:t>Slijedom prikupljenih podataka u operativnoj analizi sumnjivih transakcija i osoba utvrđena je sumnja da se opisanim</w:t>
      </w:r>
      <w:r w:rsidRPr="00F3218D">
        <w:rPr>
          <w:rFonts w:ascii="Times New Roman" w:eastAsia="Times New Roman" w:hAnsi="Times New Roman" w:cs="Times New Roman"/>
          <w:b/>
          <w:iCs/>
          <w:sz w:val="24"/>
          <w:szCs w:val="24"/>
          <w:lang w:eastAsia="hr-HR"/>
        </w:rPr>
        <w:t xml:space="preserve"> </w:t>
      </w:r>
      <w:r w:rsidRPr="00F3218D">
        <w:rPr>
          <w:rFonts w:ascii="Times New Roman" w:eastAsia="Times New Roman" w:hAnsi="Times New Roman" w:cs="Times New Roman"/>
          <w:iCs/>
          <w:sz w:val="24"/>
          <w:szCs w:val="24"/>
          <w:lang w:eastAsia="hr-HR"/>
        </w:rPr>
        <w:t>transakcijama pokušao prikriti pravi izvor novca koji potječe od počinjenja kaznenog djela prijevara u inozemstvu odnosno da je račun otvoren na ime stranog državljanina korišten za prebacivanje novca koji je pribavljen počinjenjem kaznenog djela prijevare u inozemstvu.</w:t>
      </w:r>
    </w:p>
    <w:p w14:paraId="56B00DA9" w14:textId="77777777" w:rsidR="00973499" w:rsidRPr="00C61F91" w:rsidRDefault="00973499" w:rsidP="00973499">
      <w:pPr>
        <w:spacing w:after="0" w:line="240" w:lineRule="auto"/>
        <w:jc w:val="both"/>
        <w:rPr>
          <w:rFonts w:ascii="Times New Roman" w:eastAsia="Times New Roman" w:hAnsi="Times New Roman" w:cs="Times New Roman"/>
          <w:iCs/>
          <w:sz w:val="24"/>
          <w:szCs w:val="24"/>
          <w:lang w:eastAsia="hr-HR"/>
        </w:rPr>
      </w:pPr>
      <w:r w:rsidRPr="00F3218D">
        <w:rPr>
          <w:rFonts w:ascii="Times New Roman" w:eastAsia="Times New Roman" w:hAnsi="Times New Roman" w:cs="Times New Roman"/>
          <w:iCs/>
          <w:sz w:val="24"/>
          <w:szCs w:val="24"/>
          <w:lang w:eastAsia="hr-HR"/>
        </w:rPr>
        <w:t xml:space="preserve">  </w:t>
      </w:r>
    </w:p>
    <w:p w14:paraId="3B0902EF" w14:textId="2488F64B" w:rsidR="00973499" w:rsidRPr="00F3218D" w:rsidRDefault="00973499" w:rsidP="00973499">
      <w:pPr>
        <w:spacing w:after="0" w:line="240" w:lineRule="auto"/>
        <w:rPr>
          <w:rFonts w:ascii="Times New Roman" w:eastAsia="Times New Roman" w:hAnsi="Times New Roman" w:cs="Times New Roman"/>
          <w:b/>
          <w:sz w:val="24"/>
          <w:szCs w:val="24"/>
          <w:highlight w:val="yellow"/>
        </w:rPr>
      </w:pPr>
      <w:r>
        <w:rPr>
          <w:rFonts w:ascii="Times New Roman" w:eastAsia="Calibri" w:hAnsi="Times New Roman" w:cs="Times New Roman"/>
          <w:b/>
          <w:bCs/>
          <w:sz w:val="24"/>
          <w:szCs w:val="24"/>
        </w:rPr>
        <w:t xml:space="preserve">3.4.7. </w:t>
      </w:r>
      <w:r w:rsidRPr="00F3218D">
        <w:rPr>
          <w:rFonts w:ascii="Times New Roman" w:eastAsia="Calibri" w:hAnsi="Times New Roman" w:cs="Times New Roman"/>
          <w:b/>
          <w:bCs/>
          <w:sz w:val="24"/>
          <w:szCs w:val="24"/>
        </w:rPr>
        <w:t xml:space="preserve">Slučaj pranja novca povezan sa predikatnim porezno kaznenim djelom (prijevare) </w:t>
      </w:r>
    </w:p>
    <w:p w14:paraId="63C24BEF" w14:textId="77777777" w:rsidR="00973499" w:rsidRPr="00F3218D" w:rsidRDefault="00973499" w:rsidP="00973499">
      <w:pPr>
        <w:spacing w:after="0" w:line="240" w:lineRule="auto"/>
        <w:jc w:val="both"/>
        <w:rPr>
          <w:rFonts w:ascii="Times New Roman" w:eastAsia="Calibri" w:hAnsi="Times New Roman" w:cs="Times New Roman"/>
          <w:b/>
          <w:bCs/>
          <w:sz w:val="24"/>
          <w:szCs w:val="24"/>
          <w:highlight w:val="yellow"/>
          <w:u w:val="single"/>
        </w:rPr>
      </w:pPr>
    </w:p>
    <w:p w14:paraId="2FE80A1C" w14:textId="77777777" w:rsidR="00973499" w:rsidRDefault="00973499" w:rsidP="00973499">
      <w:pPr>
        <w:spacing w:after="0" w:line="240" w:lineRule="auto"/>
        <w:jc w:val="both"/>
        <w:rPr>
          <w:rFonts w:ascii="Times New Roman" w:eastAsia="Calibri" w:hAnsi="Times New Roman" w:cs="Times New Roman"/>
          <w:sz w:val="24"/>
          <w:szCs w:val="24"/>
        </w:rPr>
      </w:pPr>
      <w:r w:rsidRPr="00F3218D">
        <w:rPr>
          <w:rFonts w:ascii="Times New Roman" w:eastAsia="Calibri" w:hAnsi="Times New Roman" w:cs="Times New Roman"/>
          <w:sz w:val="24"/>
          <w:szCs w:val="24"/>
        </w:rPr>
        <w:t xml:space="preserve">Ured je započeo operativnu analizu transakcija i osoba temeljem obavijesti banke o sumnjivim transakcijama po računu domaće tvrtke koje se odnose na znatne uplate novca iz inozemstva koji se odmah transferira u inozemstvo. Operativnom analizom od strane Ureda utvrđeno je da su na račun predmetne domaće tvrtke u godinu dana evidentirane uplate od strane više inozemnih poslovnih subjekata u ukupnom iznosu od najmanje 38 milijuna eura. Najveći dio transakcija provodio se u okruglim iznosima u rasponu od 30.000 eura do 500.000 eura. Odmah po priljevu sredstava ista su transferirana u Sloveniju u korist tri slovenske tvrtke. Suvlasnik u predmetnoj domaćoj tvrtci i jednoj od slovenskih tvrtki kojoj su transferirana sredstva je ista osoba, slovenski državljanin koji je u policijskim evidencijama evidentiran kao počinitelj kaznenog djela porezne utaje. Za slovensku tvrtku u kojoj je isti taj slovenski državljanin vlasnik kao i za drugu slovensku tvrtku kojoj je domaća predmetna tvrtka transferirala novac poslovno su povezane s tvrtkama iz Italije i Rumunjske koje su bile predmet postupanja stranih tijela progona zbog sumnje na počinjenje više kaznenih djela povezanih s utajom poreza, prijevarom povezanom sa zamjenom robe u tranzitu ilegalnom preradom goriva, krivotvorenjem dokumenata. Nadalje, po računu predmetne domaće tvrtke evidentirane su transakcije isključivo po nalogu stranih poslovnih subjekata (kupaca/dobavljača) a ista nema niti jednog zaposlenog. </w:t>
      </w:r>
    </w:p>
    <w:p w14:paraId="73D8986E" w14:textId="77777777" w:rsidR="00973499" w:rsidRPr="00F3218D" w:rsidRDefault="00973499" w:rsidP="00973499">
      <w:pPr>
        <w:spacing w:after="0" w:line="240" w:lineRule="auto"/>
        <w:jc w:val="both"/>
        <w:rPr>
          <w:rFonts w:ascii="Times New Roman" w:eastAsia="Calibri" w:hAnsi="Times New Roman" w:cs="Times New Roman"/>
          <w:sz w:val="24"/>
          <w:szCs w:val="24"/>
        </w:rPr>
      </w:pPr>
      <w:r w:rsidRPr="00F3218D">
        <w:rPr>
          <w:rFonts w:ascii="Times New Roman" w:eastAsia="Calibri" w:hAnsi="Times New Roman" w:cs="Times New Roman"/>
          <w:sz w:val="24"/>
          <w:szCs w:val="24"/>
        </w:rPr>
        <w:t xml:space="preserve">Slijedom prikupljenih podataka u operativnoj analizi sumnjivih transakcija i osoba utvrđena je sumnja da se račun predmetne domaće tvrtke koristi za nezakonite aktivnosti povezane s trgovinom naftnih derivata, odnosno postoji sumnja u vjerodostojnost i opravdanost doznaka iz inozemstva te potom doznaka u inozemstvo izvršenih po računu predmetne domaće tvrtke te slijedom toga, sumnja na kaznena djela porezne prijevare, izdavanje računa za nepostojeće poslove, neplaćanje PDV-a te na moguće pranje novca. </w:t>
      </w:r>
    </w:p>
    <w:p w14:paraId="575CA002" w14:textId="77777777" w:rsidR="00973499" w:rsidRPr="00F3218D" w:rsidRDefault="00973499" w:rsidP="00973499">
      <w:pPr>
        <w:spacing w:after="0" w:line="240" w:lineRule="auto"/>
        <w:jc w:val="both"/>
        <w:rPr>
          <w:rFonts w:ascii="Times New Roman" w:eastAsia="Calibri" w:hAnsi="Times New Roman" w:cs="Times New Roman"/>
          <w:b/>
          <w:bCs/>
          <w:i/>
          <w:sz w:val="24"/>
          <w:szCs w:val="24"/>
          <w:u w:val="single"/>
        </w:rPr>
      </w:pPr>
    </w:p>
    <w:p w14:paraId="177343DF" w14:textId="77777777" w:rsidR="00973499" w:rsidRPr="00F3218D" w:rsidRDefault="00973499" w:rsidP="00973499">
      <w:pPr>
        <w:spacing w:after="0" w:line="240" w:lineRule="auto"/>
        <w:jc w:val="both"/>
        <w:rPr>
          <w:rFonts w:ascii="Times New Roman" w:eastAsia="Calibri" w:hAnsi="Times New Roman" w:cs="Times New Roman"/>
          <w:strike/>
          <w:sz w:val="24"/>
          <w:szCs w:val="24"/>
        </w:rPr>
      </w:pPr>
    </w:p>
    <w:p w14:paraId="3BFF7F01" w14:textId="6E503538" w:rsidR="00973499" w:rsidRPr="00F3218D" w:rsidRDefault="00973499" w:rsidP="00973499">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3.4.8. </w:t>
      </w:r>
      <w:r w:rsidRPr="00F3218D">
        <w:rPr>
          <w:rFonts w:ascii="Times New Roman" w:eastAsia="Calibri" w:hAnsi="Times New Roman" w:cs="Times New Roman"/>
          <w:b/>
          <w:bCs/>
          <w:sz w:val="24"/>
          <w:szCs w:val="24"/>
        </w:rPr>
        <w:t>Slučaj pranja novca kroz ulaganje nezakonito stečenog novca u kupnju kripovaluta</w:t>
      </w:r>
    </w:p>
    <w:p w14:paraId="53B81DA8" w14:textId="77777777" w:rsidR="00973499" w:rsidRPr="00F3218D" w:rsidRDefault="00973499" w:rsidP="00973499">
      <w:pPr>
        <w:spacing w:after="0" w:line="240" w:lineRule="auto"/>
        <w:rPr>
          <w:rFonts w:ascii="Times New Roman" w:eastAsia="Calibri" w:hAnsi="Times New Roman" w:cs="Times New Roman"/>
          <w:bCs/>
          <w:sz w:val="24"/>
          <w:szCs w:val="24"/>
          <w:u w:val="single"/>
        </w:rPr>
      </w:pPr>
    </w:p>
    <w:p w14:paraId="59569D22" w14:textId="77777777" w:rsidR="00973499" w:rsidRPr="00F3218D" w:rsidRDefault="00973499" w:rsidP="00973499">
      <w:pPr>
        <w:spacing w:after="0" w:line="240" w:lineRule="auto"/>
        <w:jc w:val="both"/>
        <w:rPr>
          <w:rFonts w:ascii="Times New Roman" w:eastAsia="Calibri" w:hAnsi="Times New Roman" w:cs="Times New Roman"/>
          <w:b/>
          <w:sz w:val="24"/>
          <w:szCs w:val="24"/>
        </w:rPr>
      </w:pPr>
      <w:r w:rsidRPr="00F3218D">
        <w:rPr>
          <w:rFonts w:ascii="Times New Roman" w:eastAsia="Calibri" w:hAnsi="Times New Roman" w:cs="Times New Roman"/>
          <w:sz w:val="24"/>
          <w:szCs w:val="24"/>
        </w:rPr>
        <w:t>Ured je započeo operativnu analizu transakcija i osoba temeljem obavijesti banke o sumnjivoj transakciji koja se odnosi na inozemnu doznaku u korist strane fizičke osobe u iznosu od 750.000 eura sa računa tvrtke koja trguje kriptovalutama</w:t>
      </w:r>
      <w:r w:rsidRPr="00F3218D">
        <w:rPr>
          <w:rFonts w:ascii="Times New Roman" w:eastAsia="Calibri" w:hAnsi="Times New Roman" w:cs="Times New Roman"/>
          <w:b/>
          <w:sz w:val="24"/>
          <w:szCs w:val="24"/>
        </w:rPr>
        <w:t xml:space="preserve">. </w:t>
      </w:r>
      <w:r w:rsidRPr="00F3218D">
        <w:rPr>
          <w:rFonts w:ascii="Times New Roman" w:eastAsia="Calibri" w:hAnsi="Times New Roman" w:cs="Times New Roman"/>
          <w:sz w:val="24"/>
          <w:szCs w:val="24"/>
        </w:rPr>
        <w:t>Operativnom analizom od strane Ureda utvrđeno je da su preko računa hrvatske tvrtke (koja trguje kriptovalutama) otvorenog u banci u RH izvršene doznake u inozemstvo u ukupnom iznosu od 2.200.000 eura u korist računa njemačkog državljanina otvorenog u Austriji te na račun njemačke tvrtke u vlasništvu predmetnog stranog državljanina otvorenog u Njemačkoj (ukupno 500.000 eura). Pokriće za izvršene doznake su priljevi iz inozemstva od inozemne tvrtke koja trguje kriptovalutama (s njenog računa otvorenog u Njemačkoj i računa otvorenog u Velikoj Britaniji) te s računa predmetnog stranog državljanina otvorenog u Austriji.</w:t>
      </w:r>
    </w:p>
    <w:p w14:paraId="6AD6F8CA" w14:textId="77777777" w:rsidR="00973499" w:rsidRPr="00F3218D" w:rsidRDefault="00973499" w:rsidP="00973499">
      <w:pPr>
        <w:spacing w:after="0" w:line="240" w:lineRule="auto"/>
        <w:jc w:val="both"/>
        <w:rPr>
          <w:rFonts w:ascii="Times New Roman" w:eastAsia="Calibri" w:hAnsi="Times New Roman" w:cs="Times New Roman"/>
          <w:sz w:val="24"/>
          <w:szCs w:val="24"/>
        </w:rPr>
      </w:pPr>
      <w:r w:rsidRPr="00F3218D">
        <w:rPr>
          <w:rFonts w:ascii="Times New Roman" w:eastAsia="Calibri" w:hAnsi="Times New Roman" w:cs="Times New Roman"/>
          <w:sz w:val="24"/>
          <w:szCs w:val="24"/>
        </w:rPr>
        <w:lastRenderedPageBreak/>
        <w:t>Nadalje, analitičkom obradom utvrđeno je da je strani državljanin vlasnički i/ili upravljački povezan je velikim brojem tvrtki u Njemačkoj koje se bave nekretninama i građevinom. U policijskim evidencijama evidentiran je za sumnju na pranje novca a dvije s njim povezane tvrtke su predmet u sudskom procesu (jedna od njih je tvrtka kojoj su iz Hrvatske doznačena sredstva). U Hrvatskoj predmetna strana fizička osoba nema poslovnih aktivnosti.</w:t>
      </w:r>
    </w:p>
    <w:p w14:paraId="54135C9C" w14:textId="77777777" w:rsidR="00973499" w:rsidRPr="00F3218D" w:rsidRDefault="00973499" w:rsidP="00973499">
      <w:pPr>
        <w:spacing w:after="0" w:line="240" w:lineRule="auto"/>
        <w:jc w:val="both"/>
        <w:rPr>
          <w:rFonts w:ascii="Times New Roman" w:eastAsia="Times New Roman" w:hAnsi="Times New Roman" w:cs="Times New Roman"/>
          <w:iCs/>
          <w:sz w:val="24"/>
          <w:szCs w:val="24"/>
          <w:lang w:eastAsia="hr-HR"/>
        </w:rPr>
      </w:pPr>
      <w:r w:rsidRPr="00F3218D">
        <w:rPr>
          <w:rFonts w:ascii="Times New Roman" w:eastAsia="Times New Roman" w:hAnsi="Times New Roman" w:cs="Times New Roman"/>
          <w:iCs/>
          <w:sz w:val="24"/>
          <w:szCs w:val="24"/>
          <w:lang w:eastAsia="hr-HR"/>
        </w:rPr>
        <w:t>Slijedom prikupljenih podataka u operativnoj analizi sumnjivih transakcija i osoba utvrđena je sumnja da je strani državljanin pokušao prikriti pravi izvor novca koji moguće potječe iz nezakonitih aktivnosti počinjenih u inozemstvu na način da je isti preko Hrvatske posredstvom hrvatske tvrtke koja trguje kriptovalutama prebacivao novac iz jedne europske države u drugu.</w:t>
      </w:r>
    </w:p>
    <w:p w14:paraId="05D4B700" w14:textId="77777777" w:rsidR="00973499" w:rsidRPr="00F3218D" w:rsidRDefault="00973499" w:rsidP="00973499">
      <w:pPr>
        <w:spacing w:after="0" w:line="240" w:lineRule="auto"/>
        <w:rPr>
          <w:rFonts w:ascii="Times New Roman" w:eastAsia="Calibri" w:hAnsi="Times New Roman" w:cs="Times New Roman"/>
          <w:b/>
          <w:bCs/>
          <w:sz w:val="24"/>
          <w:szCs w:val="24"/>
        </w:rPr>
      </w:pPr>
    </w:p>
    <w:p w14:paraId="4C7D24CF" w14:textId="32967A8F" w:rsidR="00973499" w:rsidRPr="00F3218D" w:rsidRDefault="00973499" w:rsidP="00973499">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3.4.9. </w:t>
      </w:r>
      <w:r w:rsidRPr="00F3218D">
        <w:rPr>
          <w:rFonts w:ascii="Times New Roman" w:eastAsia="Calibri" w:hAnsi="Times New Roman" w:cs="Times New Roman"/>
          <w:b/>
          <w:bCs/>
          <w:sz w:val="24"/>
          <w:szCs w:val="24"/>
        </w:rPr>
        <w:t xml:space="preserve">Slučaj pranja novca povezan s predikatnim poreznim kaznenim djelom  počinjenjem kojeg su nezakonito stečena sredstva uložena u kupnju nekretnine   </w:t>
      </w:r>
    </w:p>
    <w:p w14:paraId="77FA00AC" w14:textId="77777777" w:rsidR="00973499" w:rsidRPr="00F3218D" w:rsidRDefault="00973499" w:rsidP="00973499">
      <w:pPr>
        <w:spacing w:after="0" w:line="240" w:lineRule="auto"/>
        <w:rPr>
          <w:rFonts w:ascii="Times New Roman" w:eastAsia="Calibri" w:hAnsi="Times New Roman" w:cs="Times New Roman"/>
          <w:bCs/>
          <w:sz w:val="24"/>
          <w:szCs w:val="24"/>
          <w:u w:val="single"/>
        </w:rPr>
      </w:pPr>
    </w:p>
    <w:p w14:paraId="4CF8C0C4" w14:textId="77777777" w:rsidR="00973499" w:rsidRPr="009201F6" w:rsidRDefault="00973499" w:rsidP="00973499">
      <w:pPr>
        <w:spacing w:after="0" w:line="240" w:lineRule="auto"/>
        <w:jc w:val="both"/>
        <w:rPr>
          <w:rFonts w:ascii="Times New Roman" w:eastAsia="Calibri" w:hAnsi="Times New Roman" w:cs="Times New Roman"/>
          <w:sz w:val="24"/>
          <w:szCs w:val="24"/>
        </w:rPr>
      </w:pPr>
      <w:r w:rsidRPr="00F3218D">
        <w:rPr>
          <w:rFonts w:ascii="Times New Roman" w:eastAsia="Calibri" w:hAnsi="Times New Roman" w:cs="Times New Roman"/>
          <w:sz w:val="24"/>
          <w:szCs w:val="24"/>
        </w:rPr>
        <w:t xml:space="preserve">Ured je započeo operativnu analizu transakcija i osoba temeljem obavijesti banke o sumnjivim transakcijama koje se odnose na podizanje gotovine sa računa tvrtke koja ima otvorena dva računa u dvije banke. S računa tvrtke otvorenog u jednoj banci sredstva u najmanjem iznosu od 12,3 milijuna kuna se prebacuju na njezin račun otvoren u drugoj banci . Odmah po prijenosu sredstava direktor tvrtke sredstva istog dana ili najkasnije tri dana od uplate kroz jednu ili više transakcija podiže u gotovini. </w:t>
      </w:r>
    </w:p>
    <w:p w14:paraId="7E0809D3" w14:textId="77777777" w:rsidR="00973499" w:rsidRPr="00F3218D" w:rsidRDefault="00973499" w:rsidP="00973499">
      <w:pPr>
        <w:spacing w:after="0" w:line="240" w:lineRule="auto"/>
        <w:jc w:val="both"/>
        <w:rPr>
          <w:rFonts w:ascii="Times New Roman" w:eastAsia="Calibri" w:hAnsi="Times New Roman" w:cs="Times New Roman"/>
          <w:sz w:val="24"/>
          <w:szCs w:val="24"/>
        </w:rPr>
      </w:pPr>
      <w:r w:rsidRPr="00F3218D">
        <w:rPr>
          <w:rFonts w:ascii="Times New Roman" w:eastAsia="Calibri" w:hAnsi="Times New Roman" w:cs="Times New Roman"/>
          <w:sz w:val="24"/>
          <w:szCs w:val="24"/>
        </w:rPr>
        <w:t>Dio novčanih sredstava s računa tvrtke (2,2 milijuna kuna) izravno se isplaćuje drugoj tvrtci, a dio (6,5 milijuna kuna na ime pozajmica) u korist treće tvrtke od kojeg iznosa treća tvrtka   novac vraća drugoj tvrtci, kao pozajmicu ( koja potom kupuje nekretninu). Direktori tvrtki su  rodbinski povezani, tvrtke nemaju zaposlene osobe i iste su registrirane za obavljanje poljoprivredne djelatnosti.</w:t>
      </w:r>
    </w:p>
    <w:p w14:paraId="156DCFB4" w14:textId="77777777" w:rsidR="00973499" w:rsidRPr="00C61F91" w:rsidRDefault="00973499" w:rsidP="00973499">
      <w:pPr>
        <w:spacing w:after="0" w:line="240" w:lineRule="auto"/>
        <w:jc w:val="both"/>
        <w:rPr>
          <w:rFonts w:ascii="Times New Roman" w:eastAsia="Calibri" w:hAnsi="Times New Roman" w:cs="Times New Roman"/>
          <w:sz w:val="24"/>
          <w:szCs w:val="24"/>
        </w:rPr>
      </w:pPr>
      <w:r w:rsidRPr="00F3218D">
        <w:rPr>
          <w:rFonts w:ascii="Times New Roman" w:eastAsia="Calibri" w:hAnsi="Times New Roman" w:cs="Times New Roman"/>
          <w:sz w:val="24"/>
          <w:szCs w:val="24"/>
        </w:rPr>
        <w:t>Slijedom prikupljenih podataka u operativnoj analizi sumnjivih transakcija i osoba utvrđena je sumnja da je gotovina koja je podignuta s računa predmetne tvrtke stečena nezakonitim aktivnostima povezanih s izbjegavanjem plaćanja poreznih obveza kao i povezivanje takv</w:t>
      </w:r>
      <w:r>
        <w:rPr>
          <w:rFonts w:ascii="Times New Roman" w:eastAsia="Calibri" w:hAnsi="Times New Roman" w:cs="Times New Roman"/>
          <w:sz w:val="24"/>
          <w:szCs w:val="24"/>
        </w:rPr>
        <w:t xml:space="preserve">ih aktivnosti s pranjem novca. </w:t>
      </w:r>
    </w:p>
    <w:p w14:paraId="112EFFB1" w14:textId="0DE01B70" w:rsidR="00B8517F" w:rsidRDefault="00B8517F" w:rsidP="00BD70B8">
      <w:pPr>
        <w:spacing w:after="0" w:line="240" w:lineRule="auto"/>
        <w:jc w:val="both"/>
        <w:rPr>
          <w:rFonts w:ascii="Times New Roman" w:eastAsia="Times New Roman" w:hAnsi="Times New Roman" w:cs="Times New Roman"/>
          <w:sz w:val="24"/>
          <w:szCs w:val="24"/>
          <w:lang w:eastAsia="hr-HR"/>
        </w:rPr>
      </w:pPr>
    </w:p>
    <w:p w14:paraId="69895294" w14:textId="77777777" w:rsidR="00973499" w:rsidRPr="00973499" w:rsidRDefault="00973499" w:rsidP="00BD70B8">
      <w:pPr>
        <w:spacing w:after="0" w:line="240" w:lineRule="auto"/>
        <w:jc w:val="both"/>
        <w:rPr>
          <w:rFonts w:ascii="Times New Roman" w:eastAsia="Times New Roman" w:hAnsi="Times New Roman" w:cs="Times New Roman"/>
          <w:sz w:val="24"/>
          <w:szCs w:val="24"/>
          <w:lang w:eastAsia="hr-HR"/>
        </w:rPr>
      </w:pPr>
    </w:p>
    <w:p w14:paraId="5F4A543A" w14:textId="77777777" w:rsidR="009E145B" w:rsidRDefault="009E145B" w:rsidP="00BD70B8">
      <w:pPr>
        <w:spacing w:after="0" w:line="240" w:lineRule="auto"/>
        <w:rPr>
          <w:rFonts w:ascii="Times New Roman" w:hAnsi="Times New Roman" w:cs="Times New Roman"/>
          <w:b/>
          <w:sz w:val="24"/>
          <w:szCs w:val="24"/>
        </w:rPr>
      </w:pPr>
    </w:p>
    <w:p w14:paraId="5313EEFC" w14:textId="71C74740" w:rsidR="00A30DD9" w:rsidRPr="008A4B48" w:rsidRDefault="009E145B" w:rsidP="009E145B">
      <w:pPr>
        <w:pStyle w:val="Naslov3"/>
      </w:pPr>
      <w:bookmarkStart w:id="26" w:name="_Toc153353429"/>
      <w:r>
        <w:t>3.5.</w:t>
      </w:r>
      <w:r>
        <w:tab/>
      </w:r>
      <w:r w:rsidR="00A94785" w:rsidRPr="008A4B48">
        <w:t>Trendovi pranja novca</w:t>
      </w:r>
      <w:bookmarkEnd w:id="26"/>
    </w:p>
    <w:p w14:paraId="3EC4278B" w14:textId="77777777" w:rsidR="00A30DD9" w:rsidRPr="008A4B48" w:rsidRDefault="00A30DD9" w:rsidP="00BD70B8">
      <w:pPr>
        <w:spacing w:after="0" w:line="240" w:lineRule="auto"/>
        <w:rPr>
          <w:rFonts w:ascii="Times New Roman" w:hAnsi="Times New Roman" w:cs="Times New Roman"/>
          <w:sz w:val="24"/>
          <w:szCs w:val="24"/>
        </w:rPr>
      </w:pPr>
    </w:p>
    <w:p w14:paraId="062DCBDA" w14:textId="33777B49" w:rsidR="0093280E" w:rsidRPr="008A4B48" w:rsidRDefault="00A30DD9" w:rsidP="00113707">
      <w:pPr>
        <w:spacing w:after="0" w:line="240" w:lineRule="auto"/>
        <w:contextualSpacing/>
        <w:jc w:val="both"/>
        <w:rPr>
          <w:rFonts w:ascii="Times New Roman" w:eastAsia="Calibri" w:hAnsi="Times New Roman" w:cs="Times New Roman"/>
          <w:i/>
          <w:sz w:val="24"/>
          <w:szCs w:val="24"/>
        </w:rPr>
      </w:pPr>
      <w:r w:rsidRPr="008A4B48">
        <w:rPr>
          <w:rFonts w:ascii="Times New Roman" w:hAnsi="Times New Roman" w:cs="Times New Roman"/>
          <w:sz w:val="24"/>
          <w:szCs w:val="24"/>
        </w:rPr>
        <w:t>Podaci o konkretnim slučajevima koje je Ured analizirao i koji su zbog sumnje na pranje novca proslijeđeni na daljnje postupanje nadležnim državnim tijelima ukazuju da će o</w:t>
      </w:r>
      <w:r w:rsidR="008A4B48">
        <w:rPr>
          <w:rFonts w:ascii="Times New Roman" w:hAnsi="Times New Roman" w:cs="Times New Roman"/>
          <w:sz w:val="24"/>
          <w:szCs w:val="24"/>
        </w:rPr>
        <w:t xml:space="preserve">sobe koje nastoje prikriti nezakoniti izvor novca </w:t>
      </w:r>
      <w:r w:rsidR="00495142" w:rsidRPr="008A4B48">
        <w:rPr>
          <w:rFonts w:ascii="Times New Roman" w:hAnsi="Times New Roman" w:cs="Times New Roman"/>
          <w:sz w:val="24"/>
          <w:szCs w:val="24"/>
        </w:rPr>
        <w:t>najčešće</w:t>
      </w:r>
      <w:r w:rsidRPr="008A4B48">
        <w:rPr>
          <w:rFonts w:ascii="Times New Roman" w:hAnsi="Times New Roman" w:cs="Times New Roman"/>
          <w:sz w:val="24"/>
          <w:szCs w:val="24"/>
        </w:rPr>
        <w:t xml:space="preserve"> koristiti</w:t>
      </w:r>
      <w:r w:rsidR="00495142" w:rsidRPr="008A4B48">
        <w:rPr>
          <w:rFonts w:ascii="Times New Roman" w:hAnsi="Times New Roman" w:cs="Times New Roman"/>
          <w:sz w:val="24"/>
          <w:szCs w:val="24"/>
        </w:rPr>
        <w:t xml:space="preserve"> </w:t>
      </w:r>
      <w:r w:rsidRPr="008A4B48">
        <w:rPr>
          <w:rFonts w:ascii="Times New Roman" w:hAnsi="Times New Roman" w:cs="Times New Roman"/>
          <w:sz w:val="24"/>
          <w:szCs w:val="24"/>
        </w:rPr>
        <w:t>gotovinu, ulagati</w:t>
      </w:r>
      <w:r w:rsidR="00113707" w:rsidRPr="008A4B48">
        <w:rPr>
          <w:rFonts w:ascii="Times New Roman" w:hAnsi="Times New Roman" w:cs="Times New Roman"/>
          <w:sz w:val="24"/>
          <w:szCs w:val="24"/>
        </w:rPr>
        <w:t xml:space="preserve"> je</w:t>
      </w:r>
      <w:r w:rsidRPr="008A4B48">
        <w:rPr>
          <w:rFonts w:ascii="Times New Roman" w:hAnsi="Times New Roman" w:cs="Times New Roman"/>
          <w:sz w:val="24"/>
          <w:szCs w:val="24"/>
        </w:rPr>
        <w:t xml:space="preserve"> u nekretnine i to preko </w:t>
      </w:r>
      <w:r w:rsidR="00E22115" w:rsidRPr="008A4B48">
        <w:rPr>
          <w:rFonts w:ascii="Times New Roman" w:hAnsi="Times New Roman" w:cs="Times New Roman"/>
          <w:sz w:val="24"/>
          <w:szCs w:val="24"/>
        </w:rPr>
        <w:t xml:space="preserve">gotovinskih </w:t>
      </w:r>
      <w:r w:rsidRPr="008A4B48">
        <w:rPr>
          <w:rFonts w:ascii="Times New Roman" w:hAnsi="Times New Roman" w:cs="Times New Roman"/>
          <w:sz w:val="24"/>
          <w:szCs w:val="24"/>
        </w:rPr>
        <w:t xml:space="preserve">pozajmica </w:t>
      </w:r>
      <w:r w:rsidR="00495142" w:rsidRPr="008A4B48">
        <w:rPr>
          <w:rFonts w:ascii="Times New Roman" w:hAnsi="Times New Roman" w:cs="Times New Roman"/>
          <w:sz w:val="24"/>
          <w:szCs w:val="24"/>
        </w:rPr>
        <w:t xml:space="preserve">danim </w:t>
      </w:r>
      <w:r w:rsidRPr="008A4B48">
        <w:rPr>
          <w:rFonts w:ascii="Times New Roman" w:hAnsi="Times New Roman" w:cs="Times New Roman"/>
          <w:sz w:val="24"/>
          <w:szCs w:val="24"/>
        </w:rPr>
        <w:t xml:space="preserve">pravnim osobama ili </w:t>
      </w:r>
      <w:r w:rsidR="00495142" w:rsidRPr="008A4B48">
        <w:rPr>
          <w:rFonts w:ascii="Times New Roman" w:hAnsi="Times New Roman" w:cs="Times New Roman"/>
          <w:sz w:val="24"/>
          <w:szCs w:val="24"/>
        </w:rPr>
        <w:t xml:space="preserve">stjecanjem poslovnih udjela u pravnim osobama koje </w:t>
      </w:r>
      <w:r w:rsidR="008A4B48">
        <w:rPr>
          <w:rFonts w:ascii="Times New Roman" w:hAnsi="Times New Roman" w:cs="Times New Roman"/>
          <w:sz w:val="24"/>
          <w:szCs w:val="24"/>
        </w:rPr>
        <w:t xml:space="preserve">potom </w:t>
      </w:r>
      <w:r w:rsidR="00495142" w:rsidRPr="008A4B48">
        <w:rPr>
          <w:rFonts w:ascii="Times New Roman" w:hAnsi="Times New Roman" w:cs="Times New Roman"/>
          <w:sz w:val="24"/>
          <w:szCs w:val="24"/>
        </w:rPr>
        <w:t>kupuju nekretnine</w:t>
      </w:r>
      <w:r w:rsidR="0093280E" w:rsidRPr="008A4B48">
        <w:rPr>
          <w:rFonts w:ascii="Times New Roman" w:hAnsi="Times New Roman" w:cs="Times New Roman"/>
          <w:sz w:val="24"/>
          <w:szCs w:val="24"/>
        </w:rPr>
        <w:t xml:space="preserve">; koristiti </w:t>
      </w:r>
      <w:r w:rsidR="00495142" w:rsidRPr="008A4B48">
        <w:rPr>
          <w:rFonts w:ascii="Times New Roman" w:hAnsi="Times New Roman" w:cs="Times New Roman"/>
          <w:sz w:val="24"/>
          <w:szCs w:val="24"/>
        </w:rPr>
        <w:t>fiktivne tvrtke kako bi se preko njihovih računa provele transakcije koje uključuju sredstva koja potječu iz nezakonitih aktivnosti. Također</w:t>
      </w:r>
      <w:r w:rsidR="00113707" w:rsidRPr="008A4B48">
        <w:rPr>
          <w:rFonts w:ascii="Times New Roman" w:hAnsi="Times New Roman" w:cs="Times New Roman"/>
          <w:sz w:val="24"/>
          <w:szCs w:val="24"/>
        </w:rPr>
        <w:t>,</w:t>
      </w:r>
      <w:r w:rsidR="00495142" w:rsidRPr="008A4B48">
        <w:rPr>
          <w:rFonts w:ascii="Times New Roman" w:hAnsi="Times New Roman" w:cs="Times New Roman"/>
          <w:sz w:val="24"/>
          <w:szCs w:val="24"/>
        </w:rPr>
        <w:t xml:space="preserve"> iako</w:t>
      </w:r>
      <w:r w:rsidR="0093280E" w:rsidRPr="008A4B48">
        <w:rPr>
          <w:rFonts w:ascii="Times New Roman" w:hAnsi="Times New Roman" w:cs="Times New Roman"/>
          <w:sz w:val="24"/>
          <w:szCs w:val="24"/>
        </w:rPr>
        <w:t xml:space="preserve"> se</w:t>
      </w:r>
      <w:r w:rsidR="00495142" w:rsidRPr="008A4B48">
        <w:rPr>
          <w:rFonts w:ascii="Times New Roman" w:hAnsi="Times New Roman" w:cs="Times New Roman"/>
          <w:sz w:val="24"/>
          <w:szCs w:val="24"/>
        </w:rPr>
        <w:t xml:space="preserve"> u konkretnim slučajevima</w:t>
      </w:r>
      <w:r w:rsidR="0093280E" w:rsidRPr="008A4B48">
        <w:rPr>
          <w:rFonts w:ascii="Times New Roman" w:hAnsi="Times New Roman" w:cs="Times New Roman"/>
          <w:sz w:val="24"/>
          <w:szCs w:val="24"/>
        </w:rPr>
        <w:t xml:space="preserve"> pranja novca povezanim s ulaganjima</w:t>
      </w:r>
      <w:r w:rsidR="00495142" w:rsidRPr="008A4B48">
        <w:rPr>
          <w:rFonts w:ascii="Times New Roman" w:hAnsi="Times New Roman" w:cs="Times New Roman"/>
          <w:sz w:val="24"/>
          <w:szCs w:val="24"/>
        </w:rPr>
        <w:t xml:space="preserve"> u </w:t>
      </w:r>
      <w:r w:rsidR="0093280E" w:rsidRPr="008A4B48">
        <w:rPr>
          <w:rFonts w:ascii="Times New Roman" w:hAnsi="Times New Roman" w:cs="Times New Roman"/>
          <w:sz w:val="24"/>
          <w:szCs w:val="24"/>
        </w:rPr>
        <w:t xml:space="preserve">kriptovalute koje je Ured analizirao većinom radilo o </w:t>
      </w:r>
      <w:r w:rsidR="00113707" w:rsidRPr="008A4B48">
        <w:rPr>
          <w:rFonts w:ascii="Times New Roman" w:hAnsi="Times New Roman" w:cs="Times New Roman"/>
          <w:sz w:val="24"/>
          <w:szCs w:val="24"/>
        </w:rPr>
        <w:t xml:space="preserve">sumnjivim transakcijama manjih iznosa sve veći broj takvih slučajeva koji se predmet analitičkih obrada Ureda </w:t>
      </w:r>
      <w:r w:rsidR="0093280E" w:rsidRPr="008A4B48">
        <w:rPr>
          <w:rFonts w:ascii="Times New Roman" w:hAnsi="Times New Roman" w:cs="Times New Roman"/>
          <w:sz w:val="24"/>
          <w:szCs w:val="24"/>
        </w:rPr>
        <w:t>ukazuju da će</w:t>
      </w:r>
      <w:r w:rsidR="00113707" w:rsidRPr="008A4B48">
        <w:rPr>
          <w:rFonts w:ascii="Times New Roman" w:hAnsi="Times New Roman" w:cs="Times New Roman"/>
          <w:sz w:val="24"/>
          <w:szCs w:val="24"/>
        </w:rPr>
        <w:t xml:space="preserve"> osobe nastojati prikriti </w:t>
      </w:r>
      <w:r w:rsidR="00E22115" w:rsidRPr="008A4B48">
        <w:rPr>
          <w:rFonts w:ascii="Times New Roman" w:hAnsi="Times New Roman" w:cs="Times New Roman"/>
          <w:sz w:val="24"/>
          <w:szCs w:val="24"/>
        </w:rPr>
        <w:t xml:space="preserve">nezakoniti </w:t>
      </w:r>
      <w:r w:rsidR="00113707" w:rsidRPr="008A4B48">
        <w:rPr>
          <w:rFonts w:ascii="Times New Roman" w:hAnsi="Times New Roman" w:cs="Times New Roman"/>
          <w:sz w:val="24"/>
          <w:szCs w:val="24"/>
        </w:rPr>
        <w:t xml:space="preserve">izvor novca koji su </w:t>
      </w:r>
      <w:r w:rsidR="008A4B48">
        <w:rPr>
          <w:rFonts w:ascii="Times New Roman" w:hAnsi="Times New Roman" w:cs="Times New Roman"/>
          <w:sz w:val="24"/>
          <w:szCs w:val="24"/>
        </w:rPr>
        <w:t>stekle počinjenjem kaznenog djela</w:t>
      </w:r>
      <w:r w:rsidR="003656CA">
        <w:rPr>
          <w:rFonts w:ascii="Times New Roman" w:hAnsi="Times New Roman" w:cs="Times New Roman"/>
          <w:sz w:val="24"/>
          <w:szCs w:val="24"/>
        </w:rPr>
        <w:t xml:space="preserve"> </w:t>
      </w:r>
      <w:r w:rsidR="008A4B48">
        <w:rPr>
          <w:rFonts w:ascii="Times New Roman" w:hAnsi="Times New Roman" w:cs="Times New Roman"/>
          <w:sz w:val="24"/>
          <w:szCs w:val="24"/>
        </w:rPr>
        <w:t xml:space="preserve">ulaganjem istoga </w:t>
      </w:r>
      <w:r w:rsidR="00113707" w:rsidRPr="008A4B48">
        <w:rPr>
          <w:rFonts w:ascii="Times New Roman" w:hAnsi="Times New Roman" w:cs="Times New Roman"/>
          <w:sz w:val="24"/>
          <w:szCs w:val="24"/>
        </w:rPr>
        <w:t xml:space="preserve">u kriptovalute. </w:t>
      </w:r>
    </w:p>
    <w:p w14:paraId="25F22132" w14:textId="77777777" w:rsidR="0093280E" w:rsidRPr="00BD70B8" w:rsidRDefault="0093280E" w:rsidP="00BD70B8">
      <w:pPr>
        <w:spacing w:after="0" w:line="240" w:lineRule="auto"/>
        <w:rPr>
          <w:rFonts w:ascii="Times New Roman" w:hAnsi="Times New Roman" w:cs="Times New Roman"/>
          <w:sz w:val="24"/>
          <w:szCs w:val="24"/>
        </w:rPr>
      </w:pPr>
    </w:p>
    <w:p w14:paraId="54F03B14" w14:textId="77777777" w:rsidR="00495142" w:rsidRPr="00BD70B8" w:rsidRDefault="00495142" w:rsidP="00BD70B8">
      <w:pPr>
        <w:spacing w:after="0" w:line="240" w:lineRule="auto"/>
        <w:jc w:val="both"/>
        <w:rPr>
          <w:rFonts w:ascii="Times New Roman" w:hAnsi="Times New Roman" w:cs="Times New Roman"/>
          <w:sz w:val="24"/>
          <w:szCs w:val="24"/>
        </w:rPr>
      </w:pPr>
    </w:p>
    <w:p w14:paraId="1F1745C9" w14:textId="77777777" w:rsidR="00E201A5" w:rsidRPr="00BD70B8" w:rsidRDefault="00E201A5" w:rsidP="00BD70B8">
      <w:pPr>
        <w:spacing w:after="0" w:line="240" w:lineRule="auto"/>
        <w:rPr>
          <w:rFonts w:ascii="Times New Roman" w:hAnsi="Times New Roman" w:cs="Times New Roman"/>
          <w:sz w:val="24"/>
          <w:szCs w:val="24"/>
        </w:rPr>
      </w:pPr>
      <w:bookmarkStart w:id="27" w:name="_Toc74662619"/>
    </w:p>
    <w:p w14:paraId="5ADCE97D" w14:textId="7696ED74" w:rsidR="00BD70B8" w:rsidRDefault="00BD70B8">
      <w:pPr>
        <w:rPr>
          <w:rFonts w:ascii="Times New Roman" w:hAnsi="Times New Roman" w:cs="Times New Roman"/>
          <w:sz w:val="24"/>
          <w:szCs w:val="24"/>
        </w:rPr>
      </w:pPr>
      <w:r>
        <w:rPr>
          <w:rFonts w:ascii="Times New Roman" w:hAnsi="Times New Roman" w:cs="Times New Roman"/>
          <w:sz w:val="24"/>
          <w:szCs w:val="24"/>
        </w:rPr>
        <w:br w:type="page"/>
      </w:r>
    </w:p>
    <w:p w14:paraId="67F64676" w14:textId="3C91B048" w:rsidR="004665E0" w:rsidRPr="008C46F9" w:rsidRDefault="004665E0" w:rsidP="008C46F9">
      <w:pPr>
        <w:pStyle w:val="Naslov2"/>
      </w:pPr>
      <w:bookmarkStart w:id="28" w:name="_Toc153353430"/>
      <w:r w:rsidRPr="008C46F9">
        <w:lastRenderedPageBreak/>
        <w:t>PREVENCIJA I NADZOR OBVEZNIKA</w:t>
      </w:r>
      <w:bookmarkEnd w:id="27"/>
      <w:bookmarkEnd w:id="28"/>
    </w:p>
    <w:p w14:paraId="6DFA05D7" w14:textId="77777777" w:rsidR="004665E0" w:rsidRPr="006A6FE5" w:rsidRDefault="004665E0" w:rsidP="004665E0">
      <w:pPr>
        <w:spacing w:after="0" w:line="240" w:lineRule="auto"/>
        <w:ind w:firstLine="709"/>
        <w:jc w:val="both"/>
        <w:rPr>
          <w:rFonts w:ascii="Times New Roman" w:eastAsia="Calibri" w:hAnsi="Times New Roman" w:cs="Times New Roman"/>
          <w:iCs/>
          <w:sz w:val="24"/>
          <w:szCs w:val="24"/>
          <w:lang w:eastAsia="hr-HR"/>
        </w:rPr>
      </w:pPr>
    </w:p>
    <w:p w14:paraId="066F352A" w14:textId="77777777" w:rsidR="008A655C" w:rsidRPr="008A655C" w:rsidRDefault="008A655C" w:rsidP="008A655C">
      <w:pPr>
        <w:spacing w:after="0" w:line="240" w:lineRule="auto"/>
        <w:jc w:val="both"/>
        <w:rPr>
          <w:rFonts w:ascii="Times New Roman" w:eastAsia="Calibri" w:hAnsi="Times New Roman" w:cs="Times New Roman"/>
          <w:iCs/>
          <w:sz w:val="24"/>
          <w:szCs w:val="24"/>
          <w:lang w:eastAsia="hr-HR"/>
        </w:rPr>
      </w:pPr>
      <w:bookmarkStart w:id="29" w:name="_Toc74662623"/>
      <w:r w:rsidRPr="008A655C">
        <w:rPr>
          <w:rFonts w:ascii="Times New Roman" w:eastAsia="Calibri" w:hAnsi="Times New Roman" w:cs="Times New Roman"/>
          <w:iCs/>
          <w:sz w:val="24"/>
          <w:szCs w:val="24"/>
          <w:lang w:eastAsia="hr-HR"/>
        </w:rPr>
        <w:t xml:space="preserve">Služba za prevenciju i nadzor obveznika obavlja stručne i administrativne poslove usmjerene na radnje i postupke koji uključuju, pružanje pomoći obveznicima u razumijevanju obveza propisanih Zakonom, izradu smjernica u vezi s primjenom Zakona, nadzornu funkciju i druge aktivnosti koje uključuju koordinaciju i suradnju s nadležnim nadzornim tijelima u svrhu sprječavanja pranja novca i financiranja terorizma. </w:t>
      </w:r>
    </w:p>
    <w:p w14:paraId="73574E44" w14:textId="77777777" w:rsidR="008A655C" w:rsidRPr="008A655C" w:rsidRDefault="008A655C" w:rsidP="008A655C">
      <w:pPr>
        <w:spacing w:after="0" w:line="240" w:lineRule="auto"/>
        <w:jc w:val="both"/>
        <w:rPr>
          <w:rFonts w:ascii="Times New Roman" w:eastAsia="Calibri" w:hAnsi="Times New Roman" w:cs="Times New Roman"/>
          <w:iCs/>
          <w:sz w:val="24"/>
          <w:szCs w:val="24"/>
          <w:lang w:eastAsia="hr-HR"/>
        </w:rPr>
      </w:pPr>
    </w:p>
    <w:p w14:paraId="776287E0" w14:textId="77777777" w:rsidR="008A655C" w:rsidRPr="008A655C" w:rsidRDefault="008A655C" w:rsidP="008A655C">
      <w:pPr>
        <w:spacing w:after="0" w:line="240" w:lineRule="auto"/>
        <w:jc w:val="both"/>
        <w:rPr>
          <w:rFonts w:ascii="Times New Roman" w:eastAsia="Calibri" w:hAnsi="Times New Roman" w:cs="Times New Roman"/>
          <w:iCs/>
          <w:sz w:val="24"/>
          <w:szCs w:val="24"/>
          <w:lang w:eastAsia="hr-HR"/>
        </w:rPr>
      </w:pPr>
      <w:r w:rsidRPr="008A655C">
        <w:rPr>
          <w:rFonts w:ascii="Times New Roman" w:eastAsia="Calibri" w:hAnsi="Times New Roman" w:cs="Times New Roman"/>
          <w:iCs/>
          <w:sz w:val="24"/>
          <w:szCs w:val="24"/>
          <w:lang w:eastAsia="hr-HR"/>
        </w:rPr>
        <w:t>Aktivnosti Službe za prevenciju i nadzor obveznika u 2022. bile su usmjerene na:</w:t>
      </w:r>
    </w:p>
    <w:p w14:paraId="1A03A246" w14:textId="77777777" w:rsidR="008A655C" w:rsidRPr="008A655C" w:rsidRDefault="008A655C" w:rsidP="008A655C">
      <w:pPr>
        <w:numPr>
          <w:ilvl w:val="0"/>
          <w:numId w:val="27"/>
        </w:numPr>
        <w:spacing w:after="0" w:line="240" w:lineRule="auto"/>
        <w:ind w:left="714" w:hanging="357"/>
        <w:jc w:val="both"/>
        <w:rPr>
          <w:rFonts w:ascii="Times New Roman" w:eastAsia="Calibri" w:hAnsi="Times New Roman" w:cs="Times New Roman"/>
          <w:iCs/>
          <w:sz w:val="24"/>
          <w:szCs w:val="24"/>
          <w:lang w:eastAsia="hr-HR"/>
        </w:rPr>
      </w:pPr>
      <w:r w:rsidRPr="008A655C">
        <w:rPr>
          <w:rFonts w:ascii="Times New Roman" w:eastAsia="Times New Roman" w:hAnsi="Times New Roman" w:cs="Times New Roman"/>
          <w:sz w:val="24"/>
          <w:szCs w:val="24"/>
          <w:lang w:eastAsia="hr-HR"/>
        </w:rPr>
        <w:t>nadzor ispravnosti i točnosti popunjavanja dostavljenih Obrazaca o sumnjivim transakcijama, sredstvima i osobama i Obrazaca o gotovinskim transakcijama</w:t>
      </w:r>
    </w:p>
    <w:p w14:paraId="187521B0" w14:textId="77777777" w:rsidR="008A655C" w:rsidRPr="008A655C" w:rsidRDefault="008A655C" w:rsidP="008A655C">
      <w:pPr>
        <w:numPr>
          <w:ilvl w:val="0"/>
          <w:numId w:val="27"/>
        </w:numPr>
        <w:spacing w:after="0" w:line="240" w:lineRule="auto"/>
        <w:ind w:left="714" w:hanging="357"/>
        <w:jc w:val="both"/>
        <w:rPr>
          <w:rFonts w:ascii="Times New Roman" w:eastAsia="Calibri" w:hAnsi="Times New Roman" w:cs="Times New Roman"/>
          <w:iCs/>
          <w:sz w:val="24"/>
          <w:szCs w:val="24"/>
          <w:lang w:eastAsia="hr-HR"/>
        </w:rPr>
      </w:pPr>
      <w:r w:rsidRPr="008A655C">
        <w:rPr>
          <w:rFonts w:ascii="Times New Roman" w:eastAsia="Times New Roman" w:hAnsi="Times New Roman" w:cs="Times New Roman"/>
          <w:sz w:val="24"/>
          <w:szCs w:val="24"/>
          <w:lang w:eastAsia="hr-HR"/>
        </w:rPr>
        <w:t>nadzor prijava neusklađenosti informacija o stvarnom vlasništvu koje su dostupne obvezniku sa informacijama koje se nalaze u Registru stvarnih vlasnika</w:t>
      </w:r>
    </w:p>
    <w:p w14:paraId="609A10A3" w14:textId="77777777" w:rsidR="008A655C" w:rsidRPr="008A655C" w:rsidRDefault="008A655C" w:rsidP="008A655C">
      <w:pPr>
        <w:numPr>
          <w:ilvl w:val="0"/>
          <w:numId w:val="27"/>
        </w:numPr>
        <w:spacing w:after="0" w:line="240" w:lineRule="auto"/>
        <w:ind w:left="714" w:hanging="357"/>
        <w:jc w:val="both"/>
        <w:rPr>
          <w:rFonts w:ascii="Times New Roman" w:eastAsia="Calibri" w:hAnsi="Times New Roman" w:cs="Times New Roman"/>
          <w:iCs/>
          <w:sz w:val="24"/>
          <w:szCs w:val="24"/>
          <w:lang w:eastAsia="hr-HR"/>
        </w:rPr>
      </w:pPr>
      <w:r w:rsidRPr="008A655C">
        <w:rPr>
          <w:rFonts w:ascii="Times New Roman" w:eastAsia="Times New Roman" w:hAnsi="Times New Roman" w:cs="Times New Roman"/>
          <w:sz w:val="24"/>
          <w:szCs w:val="24"/>
          <w:lang w:eastAsia="hr-HR"/>
        </w:rPr>
        <w:t xml:space="preserve">planiranje i koordinaciju nadzornih aktivnosti sa nadležnim nadzornim tijelima radi provođenja ciljanog nadzora kod pojedinog obveznika </w:t>
      </w:r>
    </w:p>
    <w:p w14:paraId="117D23CB" w14:textId="77777777" w:rsidR="008A655C" w:rsidRPr="008A655C" w:rsidRDefault="008A655C" w:rsidP="008A655C">
      <w:pPr>
        <w:numPr>
          <w:ilvl w:val="0"/>
          <w:numId w:val="27"/>
        </w:numPr>
        <w:spacing w:after="0" w:line="240" w:lineRule="auto"/>
        <w:ind w:left="714" w:hanging="357"/>
        <w:jc w:val="both"/>
        <w:rPr>
          <w:rFonts w:ascii="Times New Roman" w:eastAsia="Calibri" w:hAnsi="Times New Roman" w:cs="Times New Roman"/>
          <w:iCs/>
          <w:sz w:val="24"/>
          <w:szCs w:val="24"/>
          <w:lang w:eastAsia="hr-HR"/>
        </w:rPr>
      </w:pPr>
      <w:r w:rsidRPr="008A655C">
        <w:rPr>
          <w:rFonts w:ascii="Times New Roman" w:eastAsia="Calibri" w:hAnsi="Times New Roman" w:cs="Times New Roman"/>
          <w:iCs/>
          <w:sz w:val="24"/>
          <w:szCs w:val="24"/>
          <w:lang w:eastAsia="hr-HR"/>
        </w:rPr>
        <w:t xml:space="preserve">izdavanje smjernica/mišljenja obveznicima </w:t>
      </w:r>
    </w:p>
    <w:p w14:paraId="08D2EFC7" w14:textId="77777777" w:rsidR="008A655C" w:rsidRPr="008A655C" w:rsidRDefault="008A655C" w:rsidP="008A655C">
      <w:pPr>
        <w:numPr>
          <w:ilvl w:val="0"/>
          <w:numId w:val="27"/>
        </w:numPr>
        <w:spacing w:after="0" w:line="240" w:lineRule="auto"/>
        <w:ind w:left="714" w:hanging="357"/>
        <w:jc w:val="both"/>
        <w:rPr>
          <w:rFonts w:ascii="Times New Roman" w:eastAsia="Times New Roman" w:hAnsi="Times New Roman" w:cs="Times New Roman"/>
          <w:sz w:val="24"/>
          <w:szCs w:val="24"/>
          <w:lang w:eastAsia="hr-HR"/>
        </w:rPr>
      </w:pPr>
      <w:r w:rsidRPr="008A655C">
        <w:rPr>
          <w:rFonts w:ascii="Times New Roman" w:eastAsia="Times New Roman" w:hAnsi="Times New Roman" w:cs="Times New Roman"/>
          <w:sz w:val="24"/>
          <w:szCs w:val="24"/>
          <w:lang w:eastAsia="hr-HR"/>
        </w:rPr>
        <w:t xml:space="preserve">suradnja i razmjena informacija sa bonitetnim nadzornim tijelima </w:t>
      </w:r>
    </w:p>
    <w:p w14:paraId="1F454E48" w14:textId="77777777" w:rsidR="008A655C" w:rsidRPr="008A655C" w:rsidRDefault="008A655C" w:rsidP="008A655C">
      <w:pPr>
        <w:numPr>
          <w:ilvl w:val="0"/>
          <w:numId w:val="27"/>
        </w:numPr>
        <w:spacing w:after="0" w:line="240" w:lineRule="auto"/>
        <w:ind w:left="714" w:hanging="357"/>
        <w:jc w:val="both"/>
        <w:rPr>
          <w:rFonts w:ascii="Times New Roman" w:eastAsia="Calibri" w:hAnsi="Times New Roman" w:cs="Times New Roman"/>
          <w:iCs/>
          <w:sz w:val="24"/>
          <w:szCs w:val="24"/>
          <w:lang w:eastAsia="hr-HR"/>
        </w:rPr>
      </w:pPr>
      <w:r w:rsidRPr="008A655C">
        <w:rPr>
          <w:rFonts w:ascii="Times New Roman" w:eastAsia="Calibri" w:hAnsi="Times New Roman" w:cs="Times New Roman"/>
          <w:iCs/>
          <w:sz w:val="24"/>
          <w:szCs w:val="24"/>
          <w:lang w:eastAsia="hr-HR"/>
        </w:rPr>
        <w:t>stručno osposobljavanje i izobrazbu zaposlenika obveznika</w:t>
      </w:r>
    </w:p>
    <w:p w14:paraId="40D8E158" w14:textId="77777777" w:rsidR="008A655C" w:rsidRPr="008A655C" w:rsidRDefault="008A655C" w:rsidP="008A655C">
      <w:pPr>
        <w:numPr>
          <w:ilvl w:val="0"/>
          <w:numId w:val="27"/>
        </w:numPr>
        <w:spacing w:after="0" w:line="240" w:lineRule="auto"/>
        <w:ind w:left="714" w:hanging="357"/>
        <w:jc w:val="both"/>
        <w:rPr>
          <w:rFonts w:ascii="Times New Roman" w:eastAsia="Calibri" w:hAnsi="Times New Roman" w:cs="Times New Roman"/>
          <w:iCs/>
          <w:sz w:val="24"/>
          <w:szCs w:val="24"/>
          <w:lang w:eastAsia="hr-HR"/>
        </w:rPr>
      </w:pPr>
      <w:r w:rsidRPr="008A655C">
        <w:rPr>
          <w:rFonts w:ascii="Times New Roman" w:eastAsia="Calibri" w:hAnsi="Times New Roman" w:cs="Times New Roman"/>
          <w:iCs/>
          <w:sz w:val="24"/>
          <w:szCs w:val="24"/>
          <w:lang w:eastAsia="hr-HR"/>
        </w:rPr>
        <w:t>izdavanje smjernica/mišljenja i stručne pomoći pravnim subjektima, obveznicima upisa u Registar stvarnih vlasnika</w:t>
      </w:r>
    </w:p>
    <w:p w14:paraId="5B49C7DB" w14:textId="77777777" w:rsidR="008A655C" w:rsidRPr="008A655C" w:rsidRDefault="008A655C" w:rsidP="008A655C">
      <w:pPr>
        <w:numPr>
          <w:ilvl w:val="0"/>
          <w:numId w:val="27"/>
        </w:numPr>
        <w:spacing w:after="0" w:line="240" w:lineRule="auto"/>
        <w:ind w:left="714" w:hanging="357"/>
        <w:jc w:val="both"/>
        <w:rPr>
          <w:rFonts w:ascii="Times New Roman" w:eastAsia="Calibri" w:hAnsi="Times New Roman" w:cs="Times New Roman"/>
          <w:iCs/>
          <w:sz w:val="24"/>
          <w:szCs w:val="24"/>
          <w:lang w:eastAsia="hr-HR"/>
        </w:rPr>
      </w:pPr>
      <w:r w:rsidRPr="008A655C">
        <w:rPr>
          <w:rFonts w:ascii="Times New Roman" w:eastAsia="Calibri" w:hAnsi="Times New Roman" w:cs="Times New Roman"/>
          <w:iCs/>
          <w:sz w:val="24"/>
          <w:szCs w:val="24"/>
          <w:lang w:eastAsia="hr-HR"/>
        </w:rPr>
        <w:t xml:space="preserve">zakonodavne aktivnosti vezane uz donošenje </w:t>
      </w:r>
      <w:r w:rsidRPr="008A655C">
        <w:rPr>
          <w:rFonts w:ascii="Times New Roman" w:eastAsia="Calibri" w:hAnsi="Times New Roman" w:cs="Times New Roman"/>
          <w:bCs/>
          <w:iCs/>
          <w:sz w:val="24"/>
          <w:szCs w:val="24"/>
          <w:lang w:eastAsia="hr-HR"/>
        </w:rPr>
        <w:t>Zakona o izmjenama i dopunama Zakona o sprječavanju pranja novca i financiranja terorizma</w:t>
      </w:r>
    </w:p>
    <w:p w14:paraId="38850310" w14:textId="77777777" w:rsidR="008A655C" w:rsidRPr="008A655C" w:rsidRDefault="008A655C" w:rsidP="008A655C">
      <w:pPr>
        <w:numPr>
          <w:ilvl w:val="0"/>
          <w:numId w:val="27"/>
        </w:numPr>
        <w:spacing w:after="0" w:line="240" w:lineRule="auto"/>
        <w:ind w:left="714" w:hanging="357"/>
        <w:jc w:val="both"/>
        <w:rPr>
          <w:rFonts w:ascii="Times New Roman" w:eastAsia="Calibri" w:hAnsi="Times New Roman" w:cs="Times New Roman"/>
          <w:iCs/>
          <w:sz w:val="24"/>
          <w:szCs w:val="24"/>
          <w:lang w:eastAsia="hr-HR"/>
        </w:rPr>
      </w:pPr>
      <w:r w:rsidRPr="008A655C">
        <w:rPr>
          <w:rFonts w:ascii="Times New Roman" w:eastAsia="Calibri" w:hAnsi="Times New Roman" w:cs="Times New Roman"/>
          <w:iCs/>
          <w:sz w:val="24"/>
          <w:szCs w:val="24"/>
          <w:lang w:eastAsia="hr-HR"/>
        </w:rPr>
        <w:t>zakonodavne aktivnosti vezane uz donošenje Pravilnika o izmjenama Pravilnika o obavještavanju Ureda za sprječavanje pranja novca o gotovinskoj transakciji u vrijednosti od 200.000,00 kuna i većoj</w:t>
      </w:r>
    </w:p>
    <w:p w14:paraId="61D342DE" w14:textId="77777777" w:rsidR="008A655C" w:rsidRPr="008A655C" w:rsidRDefault="008A655C" w:rsidP="008A655C">
      <w:pPr>
        <w:numPr>
          <w:ilvl w:val="0"/>
          <w:numId w:val="27"/>
        </w:numPr>
        <w:spacing w:after="0" w:line="240" w:lineRule="auto"/>
        <w:ind w:left="714" w:hanging="357"/>
        <w:jc w:val="both"/>
        <w:rPr>
          <w:rFonts w:ascii="Times New Roman" w:eastAsia="Calibri" w:hAnsi="Times New Roman" w:cs="Times New Roman"/>
          <w:iCs/>
          <w:sz w:val="24"/>
          <w:szCs w:val="24"/>
          <w:lang w:eastAsia="hr-HR"/>
        </w:rPr>
      </w:pPr>
      <w:r w:rsidRPr="008A655C">
        <w:rPr>
          <w:rFonts w:ascii="Times New Roman" w:eastAsia="Calibri" w:hAnsi="Times New Roman" w:cs="Times New Roman"/>
          <w:iCs/>
          <w:sz w:val="24"/>
          <w:szCs w:val="24"/>
          <w:lang w:eastAsia="hr-HR"/>
        </w:rPr>
        <w:t>zakonodavne aktivnosti vezane uz donošenje Pravilnika o izmjenama Pravilnika o obavještavanju Ureda za sprječavanje pranja novca o sumnjivim transakcijama, sredstvima i osobama</w:t>
      </w:r>
    </w:p>
    <w:p w14:paraId="00B9387C" w14:textId="77777777" w:rsidR="008A655C" w:rsidRPr="008A655C" w:rsidRDefault="008A655C" w:rsidP="008A655C">
      <w:pPr>
        <w:numPr>
          <w:ilvl w:val="0"/>
          <w:numId w:val="27"/>
        </w:numPr>
        <w:spacing w:after="0" w:line="240" w:lineRule="auto"/>
        <w:ind w:left="714" w:hanging="357"/>
        <w:contextualSpacing/>
        <w:jc w:val="both"/>
        <w:rPr>
          <w:rFonts w:ascii="Times New Roman" w:eastAsia="Calibri" w:hAnsi="Times New Roman" w:cs="Times New Roman"/>
          <w:iCs/>
          <w:sz w:val="24"/>
          <w:szCs w:val="24"/>
          <w:lang w:eastAsia="hr-HR"/>
        </w:rPr>
      </w:pPr>
      <w:r w:rsidRPr="008A655C">
        <w:rPr>
          <w:rFonts w:ascii="Times New Roman" w:eastAsia="Calibri" w:hAnsi="Times New Roman" w:cs="Times New Roman"/>
          <w:iCs/>
          <w:sz w:val="24"/>
          <w:szCs w:val="24"/>
          <w:lang w:eastAsia="hr-HR"/>
        </w:rPr>
        <w:t>zakonodavne aktivnosti vezane uz prenošenje Direktive Europskog parlamenta i Vijeća o izmjeni Direktive (EU) 2019/1153 Europskog parlamenta i Vijeća u pogledu pristupa nadležnih tijela centraliziranim registrima bankovnih računa putem jedinstvene pristupne točke</w:t>
      </w:r>
    </w:p>
    <w:p w14:paraId="5CB8ADDC" w14:textId="77777777" w:rsidR="008A655C" w:rsidRPr="008A655C" w:rsidRDefault="008A655C" w:rsidP="008A655C">
      <w:pPr>
        <w:numPr>
          <w:ilvl w:val="0"/>
          <w:numId w:val="27"/>
        </w:numPr>
        <w:spacing w:after="0" w:line="240" w:lineRule="auto"/>
        <w:ind w:left="714" w:hanging="357"/>
        <w:jc w:val="both"/>
        <w:rPr>
          <w:rFonts w:ascii="Times New Roman" w:eastAsia="Calibri" w:hAnsi="Times New Roman" w:cs="Times New Roman"/>
          <w:iCs/>
          <w:sz w:val="24"/>
          <w:szCs w:val="24"/>
          <w:lang w:eastAsia="hr-HR"/>
        </w:rPr>
      </w:pPr>
      <w:r w:rsidRPr="008A655C">
        <w:rPr>
          <w:rFonts w:ascii="Times New Roman" w:eastAsia="Calibri" w:hAnsi="Times New Roman" w:cs="Times New Roman"/>
          <w:iCs/>
          <w:sz w:val="24"/>
          <w:szCs w:val="24"/>
          <w:lang w:eastAsia="hr-HR"/>
        </w:rPr>
        <w:t>izradu prijedloga odgovora po zahtjevima korisnika za pristup informacijama</w:t>
      </w:r>
    </w:p>
    <w:p w14:paraId="33F2AF55" w14:textId="6BB7F701" w:rsidR="008A655C" w:rsidRPr="008A655C" w:rsidRDefault="008A655C" w:rsidP="008A655C">
      <w:pPr>
        <w:numPr>
          <w:ilvl w:val="0"/>
          <w:numId w:val="27"/>
        </w:numPr>
        <w:spacing w:after="0" w:line="240" w:lineRule="auto"/>
        <w:ind w:left="714" w:hanging="357"/>
        <w:jc w:val="both"/>
        <w:rPr>
          <w:rFonts w:ascii="Times New Roman" w:eastAsia="Calibri" w:hAnsi="Times New Roman" w:cs="Times New Roman"/>
          <w:iCs/>
          <w:sz w:val="24"/>
          <w:szCs w:val="24"/>
          <w:lang w:eastAsia="hr-HR"/>
        </w:rPr>
      </w:pPr>
      <w:r w:rsidRPr="008A655C">
        <w:rPr>
          <w:rFonts w:ascii="Times New Roman" w:eastAsia="Calibri" w:hAnsi="Times New Roman" w:cs="Times New Roman"/>
          <w:iCs/>
          <w:sz w:val="24"/>
          <w:szCs w:val="24"/>
          <w:lang w:eastAsia="hr-HR"/>
        </w:rPr>
        <w:t>odgovore na predstavke i upite građana i pravnih osoba upućenih Uredu.</w:t>
      </w:r>
    </w:p>
    <w:p w14:paraId="003D3017" w14:textId="77777777" w:rsidR="008A655C" w:rsidRPr="008A655C" w:rsidRDefault="008A655C" w:rsidP="008A655C">
      <w:pPr>
        <w:spacing w:after="0" w:line="240" w:lineRule="auto"/>
        <w:ind w:left="720"/>
        <w:contextualSpacing/>
        <w:jc w:val="both"/>
        <w:rPr>
          <w:rFonts w:ascii="Times New Roman" w:eastAsia="Calibri" w:hAnsi="Times New Roman" w:cs="Times New Roman"/>
          <w:iCs/>
          <w:sz w:val="24"/>
          <w:szCs w:val="24"/>
          <w:lang w:eastAsia="hr-HR"/>
        </w:rPr>
      </w:pPr>
    </w:p>
    <w:p w14:paraId="466A9E86" w14:textId="77777777" w:rsidR="008A655C" w:rsidRPr="008A655C" w:rsidRDefault="008A655C" w:rsidP="008A655C">
      <w:pPr>
        <w:spacing w:after="0" w:line="240" w:lineRule="auto"/>
        <w:jc w:val="both"/>
        <w:rPr>
          <w:rFonts w:ascii="Times New Roman" w:hAnsi="Times New Roman" w:cs="Times New Roman"/>
          <w:b/>
          <w:iCs/>
          <w:sz w:val="24"/>
          <w:szCs w:val="24"/>
          <w:lang w:eastAsia="hr-HR"/>
        </w:rPr>
      </w:pPr>
      <w:r w:rsidRPr="008A655C">
        <w:rPr>
          <w:rFonts w:ascii="Times New Roman" w:hAnsi="Times New Roman" w:cs="Times New Roman"/>
          <w:b/>
          <w:iCs/>
          <w:sz w:val="24"/>
          <w:szCs w:val="24"/>
          <w:lang w:eastAsia="hr-HR"/>
        </w:rPr>
        <w:t>Nadzor ispravnosti popunjavanja dostavljenih Obrazaca o sumnjivim transakcijama, sredstvima i osobama i Obrazaca o gotovinskim transakcijama</w:t>
      </w:r>
    </w:p>
    <w:p w14:paraId="03504F0E" w14:textId="77777777" w:rsidR="008A655C" w:rsidRPr="008A655C" w:rsidRDefault="008A655C" w:rsidP="008A655C">
      <w:pPr>
        <w:spacing w:after="0" w:line="240" w:lineRule="auto"/>
        <w:jc w:val="both"/>
        <w:rPr>
          <w:rFonts w:ascii="Times New Roman" w:hAnsi="Times New Roman" w:cs="Times New Roman"/>
          <w:b/>
          <w:iCs/>
          <w:sz w:val="24"/>
          <w:szCs w:val="24"/>
          <w:lang w:eastAsia="hr-HR"/>
        </w:rPr>
      </w:pPr>
    </w:p>
    <w:p w14:paraId="3AF57BD1" w14:textId="7F11B765" w:rsidR="008A655C" w:rsidRPr="008A655C" w:rsidRDefault="008A655C" w:rsidP="008A655C">
      <w:pPr>
        <w:jc w:val="both"/>
        <w:rPr>
          <w:rFonts w:ascii="Times New Roman" w:hAnsi="Times New Roman" w:cs="Times New Roman"/>
          <w:iCs/>
          <w:sz w:val="24"/>
          <w:szCs w:val="24"/>
          <w:lang w:eastAsia="hr-HR"/>
        </w:rPr>
      </w:pPr>
      <w:r w:rsidRPr="008A655C">
        <w:rPr>
          <w:rFonts w:ascii="Times New Roman" w:hAnsi="Times New Roman" w:cs="Times New Roman"/>
          <w:iCs/>
          <w:sz w:val="24"/>
          <w:szCs w:val="24"/>
          <w:lang w:eastAsia="hr-HR"/>
        </w:rPr>
        <w:t xml:space="preserve">U svrhu kontrole ispravnosti i točnosti popunjavanja zaprimljenih Obrazaca o sumnjivim transakcijama i osobama i zaprimljenih Obrazaca o gotovinskim transakcijama, tijekom 2022. obavljeno je ukupno </w:t>
      </w:r>
      <w:r w:rsidR="00867204">
        <w:rPr>
          <w:rFonts w:ascii="Times New Roman" w:hAnsi="Times New Roman" w:cs="Times New Roman"/>
          <w:iCs/>
          <w:sz w:val="24"/>
          <w:szCs w:val="24"/>
          <w:lang w:eastAsia="hr-HR"/>
        </w:rPr>
        <w:t>7</w:t>
      </w:r>
      <w:r w:rsidRPr="008A655C">
        <w:rPr>
          <w:rFonts w:ascii="Times New Roman" w:hAnsi="Times New Roman" w:cs="Times New Roman"/>
          <w:iCs/>
          <w:sz w:val="24"/>
          <w:szCs w:val="24"/>
          <w:lang w:eastAsia="hr-HR"/>
        </w:rPr>
        <w:t xml:space="preserve"> neizravnih nadzora. Najčešći nedostaci utvrđeni nadzorom odnosili su se na nedostatke u popunjavanju propisanih podataka prilikom prijave sumnjivih i gotovinskih transakcija (nije naveden podatak o izvor sredstava, nepostojanje obrazloženja razloga za sumnju na pranje novca, ako postoji obrazloženje razloga za sumnju na pranje novca nije strukturirano na način da postoje relevantni podatci koji bi upućivali na sumnju na pranje novca, nije korištena lista indikatora za prepoznavanje sumnjivih transakcija, sredstava i osoba i dr.).</w:t>
      </w:r>
      <w:r w:rsidRPr="008A655C">
        <w:t xml:space="preserve"> </w:t>
      </w:r>
    </w:p>
    <w:p w14:paraId="52726D68" w14:textId="456BA9F1" w:rsidR="008A655C" w:rsidRPr="00001A04" w:rsidRDefault="008A655C" w:rsidP="00375117">
      <w:pPr>
        <w:jc w:val="both"/>
        <w:rPr>
          <w:rFonts w:ascii="Times New Roman" w:hAnsi="Times New Roman" w:cs="Times New Roman"/>
          <w:iCs/>
          <w:sz w:val="24"/>
          <w:szCs w:val="24"/>
          <w:lang w:eastAsia="hr-HR"/>
        </w:rPr>
      </w:pPr>
      <w:r w:rsidRPr="008A655C">
        <w:rPr>
          <w:rFonts w:ascii="Times New Roman" w:hAnsi="Times New Roman" w:cs="Times New Roman"/>
          <w:iCs/>
          <w:sz w:val="24"/>
          <w:szCs w:val="24"/>
          <w:lang w:eastAsia="hr-HR"/>
        </w:rPr>
        <w:lastRenderedPageBreak/>
        <w:t>U Tablici 2</w:t>
      </w:r>
      <w:r w:rsidR="00E205F1">
        <w:rPr>
          <w:rFonts w:ascii="Times New Roman" w:hAnsi="Times New Roman" w:cs="Times New Roman"/>
          <w:iCs/>
          <w:sz w:val="24"/>
          <w:szCs w:val="24"/>
          <w:lang w:eastAsia="hr-HR"/>
        </w:rPr>
        <w:t>2</w:t>
      </w:r>
      <w:r w:rsidRPr="008A655C">
        <w:rPr>
          <w:rFonts w:ascii="Times New Roman" w:hAnsi="Times New Roman" w:cs="Times New Roman"/>
          <w:iCs/>
          <w:sz w:val="24"/>
          <w:szCs w:val="24"/>
          <w:lang w:eastAsia="hr-HR"/>
        </w:rPr>
        <w:t>. prikazan je broj obavljenih neizravnih nadzora tijekom prema vrsti obveznika.</w:t>
      </w:r>
    </w:p>
    <w:tbl>
      <w:tblPr>
        <w:tblW w:w="8364" w:type="dxa"/>
        <w:tblInd w:w="-5" w:type="dxa"/>
        <w:tblLook w:val="04A0" w:firstRow="1" w:lastRow="0" w:firstColumn="1" w:lastColumn="0" w:noHBand="0" w:noVBand="1"/>
      </w:tblPr>
      <w:tblGrid>
        <w:gridCol w:w="6095"/>
        <w:gridCol w:w="993"/>
        <w:gridCol w:w="1276"/>
      </w:tblGrid>
      <w:tr w:rsidR="00786540" w:rsidRPr="00375117" w14:paraId="43310DE1" w14:textId="77777777" w:rsidTr="00001A04">
        <w:trPr>
          <w:trHeight w:val="340"/>
        </w:trPr>
        <w:tc>
          <w:tcPr>
            <w:tcW w:w="609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3487450" w14:textId="77777777" w:rsidR="00786540" w:rsidRPr="00001A04" w:rsidRDefault="00786540" w:rsidP="00F66AD6">
            <w:pPr>
              <w:spacing w:after="0" w:line="240" w:lineRule="auto"/>
              <w:jc w:val="center"/>
              <w:rPr>
                <w:rFonts w:ascii="Times New Roman" w:eastAsia="Times New Roman" w:hAnsi="Times New Roman" w:cs="Times New Roman"/>
                <w:b/>
                <w:color w:val="000000"/>
                <w:lang w:eastAsia="hr-HR"/>
              </w:rPr>
            </w:pPr>
            <w:r w:rsidRPr="00001A04">
              <w:rPr>
                <w:rFonts w:ascii="Times New Roman" w:eastAsia="Times New Roman" w:hAnsi="Times New Roman" w:cs="Times New Roman"/>
                <w:b/>
                <w:color w:val="000000"/>
                <w:lang w:eastAsia="hr-HR"/>
              </w:rPr>
              <w:t>OBVEZNICI</w:t>
            </w:r>
          </w:p>
        </w:tc>
        <w:tc>
          <w:tcPr>
            <w:tcW w:w="993" w:type="dxa"/>
            <w:tcBorders>
              <w:top w:val="single" w:sz="4" w:space="0" w:color="auto"/>
              <w:left w:val="nil"/>
              <w:bottom w:val="single" w:sz="4" w:space="0" w:color="auto"/>
              <w:right w:val="single" w:sz="4" w:space="0" w:color="auto"/>
            </w:tcBorders>
            <w:shd w:val="clear" w:color="000000" w:fill="F2F2F2"/>
            <w:noWrap/>
            <w:vAlign w:val="center"/>
            <w:hideMark/>
          </w:tcPr>
          <w:p w14:paraId="0E9780C2" w14:textId="106C11D7" w:rsidR="00786540" w:rsidRPr="00001A04" w:rsidRDefault="00786540" w:rsidP="00786540">
            <w:pPr>
              <w:spacing w:after="0" w:line="240" w:lineRule="auto"/>
              <w:jc w:val="center"/>
              <w:rPr>
                <w:rFonts w:ascii="Times New Roman" w:eastAsia="Times New Roman" w:hAnsi="Times New Roman" w:cs="Times New Roman"/>
                <w:b/>
                <w:color w:val="000000"/>
                <w:lang w:eastAsia="hr-HR"/>
              </w:rPr>
            </w:pPr>
            <w:r w:rsidRPr="00001A04">
              <w:rPr>
                <w:rFonts w:ascii="Times New Roman" w:eastAsia="Times New Roman" w:hAnsi="Times New Roman" w:cs="Times New Roman"/>
                <w:b/>
                <w:color w:val="000000"/>
                <w:lang w:eastAsia="hr-HR"/>
              </w:rPr>
              <w:t>2021.</w:t>
            </w:r>
          </w:p>
        </w:tc>
        <w:tc>
          <w:tcPr>
            <w:tcW w:w="1276" w:type="dxa"/>
            <w:tcBorders>
              <w:top w:val="single" w:sz="4" w:space="0" w:color="auto"/>
              <w:left w:val="nil"/>
              <w:bottom w:val="single" w:sz="4" w:space="0" w:color="auto"/>
              <w:right w:val="single" w:sz="4" w:space="0" w:color="auto"/>
            </w:tcBorders>
            <w:shd w:val="clear" w:color="000000" w:fill="F2F2F2"/>
            <w:vAlign w:val="center"/>
          </w:tcPr>
          <w:p w14:paraId="031B2397" w14:textId="3463F7E8" w:rsidR="00786540" w:rsidRPr="00001A04" w:rsidRDefault="00786540" w:rsidP="00F66AD6">
            <w:pPr>
              <w:spacing w:after="0" w:line="240" w:lineRule="auto"/>
              <w:jc w:val="center"/>
              <w:rPr>
                <w:rFonts w:ascii="Times New Roman" w:eastAsia="Times New Roman" w:hAnsi="Times New Roman" w:cs="Times New Roman"/>
                <w:b/>
                <w:color w:val="000000"/>
                <w:lang w:eastAsia="hr-HR"/>
              </w:rPr>
            </w:pPr>
            <w:r w:rsidRPr="00001A04">
              <w:rPr>
                <w:rFonts w:ascii="Times New Roman" w:eastAsia="Times New Roman" w:hAnsi="Times New Roman" w:cs="Times New Roman"/>
                <w:b/>
                <w:color w:val="000000"/>
                <w:lang w:eastAsia="hr-HR"/>
              </w:rPr>
              <w:t>2022.</w:t>
            </w:r>
          </w:p>
        </w:tc>
      </w:tr>
      <w:tr w:rsidR="00786540" w:rsidRPr="00375117" w14:paraId="7F9EFF13" w14:textId="77777777" w:rsidTr="00001A04">
        <w:trPr>
          <w:trHeight w:val="340"/>
        </w:trPr>
        <w:tc>
          <w:tcPr>
            <w:tcW w:w="6095" w:type="dxa"/>
            <w:vMerge/>
            <w:tcBorders>
              <w:top w:val="single" w:sz="4" w:space="0" w:color="auto"/>
              <w:left w:val="single" w:sz="4" w:space="0" w:color="auto"/>
              <w:bottom w:val="single" w:sz="4" w:space="0" w:color="auto"/>
              <w:right w:val="single" w:sz="4" w:space="0" w:color="auto"/>
            </w:tcBorders>
            <w:vAlign w:val="center"/>
            <w:hideMark/>
          </w:tcPr>
          <w:p w14:paraId="4BEE4928" w14:textId="77777777" w:rsidR="00786540" w:rsidRPr="00001A04" w:rsidRDefault="00786540" w:rsidP="00F66AD6">
            <w:pPr>
              <w:spacing w:after="0" w:line="240" w:lineRule="auto"/>
              <w:rPr>
                <w:rFonts w:ascii="Times New Roman" w:eastAsia="Times New Roman" w:hAnsi="Times New Roman" w:cs="Times New Roman"/>
                <w:b/>
                <w:color w:val="000000"/>
                <w:lang w:eastAsia="hr-HR"/>
              </w:rPr>
            </w:pPr>
          </w:p>
        </w:tc>
        <w:tc>
          <w:tcPr>
            <w:tcW w:w="993" w:type="dxa"/>
            <w:tcBorders>
              <w:top w:val="nil"/>
              <w:left w:val="nil"/>
              <w:bottom w:val="single" w:sz="4" w:space="0" w:color="auto"/>
              <w:right w:val="single" w:sz="4" w:space="0" w:color="auto"/>
            </w:tcBorders>
            <w:shd w:val="clear" w:color="000000" w:fill="F2F2F2"/>
            <w:vAlign w:val="center"/>
            <w:hideMark/>
          </w:tcPr>
          <w:p w14:paraId="0F795AE7" w14:textId="18E34B3B" w:rsidR="00786540" w:rsidRPr="00001A04" w:rsidRDefault="00786540" w:rsidP="00786540">
            <w:pPr>
              <w:spacing w:after="0" w:line="240" w:lineRule="auto"/>
              <w:jc w:val="center"/>
              <w:rPr>
                <w:rFonts w:ascii="Times New Roman" w:eastAsia="Times New Roman" w:hAnsi="Times New Roman" w:cs="Times New Roman"/>
                <w:b/>
                <w:color w:val="000000"/>
                <w:lang w:eastAsia="hr-HR"/>
              </w:rPr>
            </w:pPr>
            <w:r w:rsidRPr="00001A04">
              <w:rPr>
                <w:rFonts w:ascii="Times New Roman" w:eastAsia="Times New Roman" w:hAnsi="Times New Roman" w:cs="Times New Roman"/>
                <w:b/>
                <w:color w:val="000000"/>
                <w:lang w:eastAsia="hr-HR"/>
              </w:rPr>
              <w:t>broj nadzora</w:t>
            </w:r>
          </w:p>
        </w:tc>
        <w:tc>
          <w:tcPr>
            <w:tcW w:w="1276" w:type="dxa"/>
            <w:tcBorders>
              <w:top w:val="nil"/>
              <w:left w:val="nil"/>
              <w:bottom w:val="single" w:sz="4" w:space="0" w:color="auto"/>
              <w:right w:val="single" w:sz="4" w:space="0" w:color="auto"/>
            </w:tcBorders>
            <w:shd w:val="clear" w:color="000000" w:fill="F2F2F2"/>
            <w:vAlign w:val="center"/>
            <w:hideMark/>
          </w:tcPr>
          <w:p w14:paraId="63DB5912" w14:textId="0961C150" w:rsidR="00786540" w:rsidRPr="00001A04" w:rsidRDefault="00786540" w:rsidP="00786540">
            <w:pPr>
              <w:spacing w:after="0" w:line="240" w:lineRule="auto"/>
              <w:jc w:val="center"/>
              <w:rPr>
                <w:rFonts w:ascii="Times New Roman" w:eastAsia="Times New Roman" w:hAnsi="Times New Roman" w:cs="Times New Roman"/>
                <w:b/>
                <w:color w:val="000000"/>
                <w:lang w:eastAsia="hr-HR"/>
              </w:rPr>
            </w:pPr>
            <w:r w:rsidRPr="00001A04">
              <w:rPr>
                <w:rFonts w:ascii="Times New Roman" w:eastAsia="Times New Roman" w:hAnsi="Times New Roman" w:cs="Times New Roman"/>
                <w:b/>
                <w:color w:val="000000"/>
                <w:lang w:eastAsia="hr-HR"/>
              </w:rPr>
              <w:t xml:space="preserve">broj </w:t>
            </w:r>
            <w:r w:rsidR="00001A04">
              <w:rPr>
                <w:rFonts w:ascii="Times New Roman" w:eastAsia="Times New Roman" w:hAnsi="Times New Roman" w:cs="Times New Roman"/>
                <w:b/>
                <w:color w:val="000000"/>
                <w:lang w:eastAsia="hr-HR"/>
              </w:rPr>
              <w:t>nadzo</w:t>
            </w:r>
            <w:r w:rsidRPr="00001A04">
              <w:rPr>
                <w:rFonts w:ascii="Times New Roman" w:eastAsia="Times New Roman" w:hAnsi="Times New Roman" w:cs="Times New Roman"/>
                <w:b/>
                <w:color w:val="000000"/>
                <w:lang w:eastAsia="hr-HR"/>
              </w:rPr>
              <w:t>ra</w:t>
            </w:r>
          </w:p>
        </w:tc>
      </w:tr>
      <w:tr w:rsidR="00786540" w:rsidRPr="00375117" w14:paraId="4C42A7C8" w14:textId="77777777" w:rsidTr="00001A04">
        <w:trPr>
          <w:trHeight w:val="340"/>
        </w:trPr>
        <w:tc>
          <w:tcPr>
            <w:tcW w:w="6095" w:type="dxa"/>
            <w:tcBorders>
              <w:top w:val="nil"/>
              <w:left w:val="single" w:sz="4" w:space="0" w:color="auto"/>
              <w:bottom w:val="single" w:sz="4" w:space="0" w:color="auto"/>
              <w:right w:val="single" w:sz="4" w:space="0" w:color="auto"/>
            </w:tcBorders>
            <w:shd w:val="clear" w:color="auto" w:fill="auto"/>
            <w:vAlign w:val="center"/>
            <w:hideMark/>
          </w:tcPr>
          <w:p w14:paraId="11AC8A32" w14:textId="29E57AFC" w:rsidR="00786540" w:rsidRPr="00001A04" w:rsidRDefault="00786540" w:rsidP="00F66AD6">
            <w:pPr>
              <w:spacing w:after="0" w:line="240" w:lineRule="auto"/>
              <w:rPr>
                <w:rFonts w:ascii="Times New Roman" w:eastAsia="Times New Roman" w:hAnsi="Times New Roman" w:cs="Times New Roman"/>
                <w:color w:val="000000"/>
                <w:lang w:eastAsia="hr-HR"/>
              </w:rPr>
            </w:pPr>
            <w:r w:rsidRPr="00001A04">
              <w:rPr>
                <w:rFonts w:ascii="Times New Roman" w:eastAsia="Times New Roman" w:hAnsi="Times New Roman" w:cs="Times New Roman"/>
                <w:iCs/>
                <w:color w:val="000000"/>
                <w:lang w:eastAsia="hr-HR"/>
              </w:rPr>
              <w:t>ovlašteni mjenjači</w:t>
            </w:r>
          </w:p>
        </w:tc>
        <w:tc>
          <w:tcPr>
            <w:tcW w:w="993" w:type="dxa"/>
            <w:tcBorders>
              <w:top w:val="nil"/>
              <w:left w:val="nil"/>
              <w:bottom w:val="single" w:sz="4" w:space="0" w:color="auto"/>
              <w:right w:val="single" w:sz="4" w:space="0" w:color="auto"/>
            </w:tcBorders>
            <w:shd w:val="clear" w:color="auto" w:fill="auto"/>
            <w:noWrap/>
            <w:vAlign w:val="center"/>
          </w:tcPr>
          <w:p w14:paraId="233E513F" w14:textId="4E6CE0FF" w:rsidR="00786540" w:rsidRPr="00001A04" w:rsidRDefault="00786540" w:rsidP="00F66AD6">
            <w:pPr>
              <w:spacing w:after="0" w:line="240" w:lineRule="auto"/>
              <w:jc w:val="center"/>
              <w:rPr>
                <w:rFonts w:ascii="Times New Roman" w:eastAsia="Times New Roman" w:hAnsi="Times New Roman" w:cs="Times New Roman"/>
                <w:color w:val="000000"/>
                <w:lang w:eastAsia="hr-HR"/>
              </w:rPr>
            </w:pPr>
            <w:r w:rsidRPr="00001A04">
              <w:rPr>
                <w:rFonts w:ascii="Times New Roman" w:eastAsia="Times New Roman" w:hAnsi="Times New Roman" w:cs="Times New Roman"/>
                <w:color w:val="000000"/>
                <w:lang w:eastAsia="hr-HR"/>
              </w:rPr>
              <w:t>13</w:t>
            </w:r>
          </w:p>
        </w:tc>
        <w:tc>
          <w:tcPr>
            <w:tcW w:w="1276" w:type="dxa"/>
            <w:tcBorders>
              <w:top w:val="nil"/>
              <w:left w:val="nil"/>
              <w:bottom w:val="single" w:sz="4" w:space="0" w:color="auto"/>
              <w:right w:val="single" w:sz="4" w:space="0" w:color="auto"/>
            </w:tcBorders>
            <w:shd w:val="clear" w:color="auto" w:fill="auto"/>
            <w:noWrap/>
            <w:vAlign w:val="center"/>
          </w:tcPr>
          <w:p w14:paraId="58131023" w14:textId="11CFF26F" w:rsidR="00786540" w:rsidRPr="00001A04" w:rsidRDefault="00786540" w:rsidP="00F66AD6">
            <w:pPr>
              <w:spacing w:after="0" w:line="240" w:lineRule="auto"/>
              <w:jc w:val="center"/>
              <w:rPr>
                <w:rFonts w:ascii="Times New Roman" w:eastAsia="Times New Roman" w:hAnsi="Times New Roman" w:cs="Times New Roman"/>
                <w:color w:val="000000"/>
                <w:lang w:eastAsia="hr-HR"/>
              </w:rPr>
            </w:pPr>
          </w:p>
        </w:tc>
      </w:tr>
      <w:tr w:rsidR="00786540" w:rsidRPr="00375117" w14:paraId="4565E01C" w14:textId="77777777" w:rsidTr="00001A04">
        <w:trPr>
          <w:trHeight w:val="340"/>
        </w:trPr>
        <w:tc>
          <w:tcPr>
            <w:tcW w:w="6095" w:type="dxa"/>
            <w:tcBorders>
              <w:top w:val="nil"/>
              <w:left w:val="single" w:sz="4" w:space="0" w:color="auto"/>
              <w:bottom w:val="single" w:sz="4" w:space="0" w:color="auto"/>
              <w:right w:val="single" w:sz="4" w:space="0" w:color="auto"/>
            </w:tcBorders>
            <w:shd w:val="clear" w:color="auto" w:fill="auto"/>
            <w:vAlign w:val="center"/>
          </w:tcPr>
          <w:p w14:paraId="342B76E7" w14:textId="5F50E665" w:rsidR="00786540" w:rsidRPr="00001A04" w:rsidRDefault="00786540" w:rsidP="00F66AD6">
            <w:pPr>
              <w:spacing w:after="0" w:line="240" w:lineRule="auto"/>
              <w:rPr>
                <w:rFonts w:ascii="Times New Roman" w:eastAsia="Times New Roman" w:hAnsi="Times New Roman" w:cs="Times New Roman"/>
                <w:color w:val="000000"/>
                <w:lang w:eastAsia="hr-HR"/>
              </w:rPr>
            </w:pPr>
            <w:r w:rsidRPr="00001A04">
              <w:rPr>
                <w:rFonts w:ascii="Times New Roman" w:eastAsia="Times New Roman" w:hAnsi="Times New Roman" w:cs="Times New Roman"/>
                <w:iCs/>
                <w:color w:val="000000"/>
                <w:lang w:eastAsia="hr-HR"/>
              </w:rPr>
              <w:t>društva za obavljanje računovodstvenih usluga</w:t>
            </w:r>
          </w:p>
        </w:tc>
        <w:tc>
          <w:tcPr>
            <w:tcW w:w="993" w:type="dxa"/>
            <w:tcBorders>
              <w:top w:val="nil"/>
              <w:left w:val="nil"/>
              <w:bottom w:val="single" w:sz="4" w:space="0" w:color="auto"/>
              <w:right w:val="single" w:sz="4" w:space="0" w:color="auto"/>
            </w:tcBorders>
            <w:shd w:val="clear" w:color="auto" w:fill="auto"/>
            <w:noWrap/>
            <w:vAlign w:val="center"/>
          </w:tcPr>
          <w:p w14:paraId="027D4E31" w14:textId="3BA27FA4" w:rsidR="00786540" w:rsidRPr="00001A04" w:rsidRDefault="00786540" w:rsidP="00F66AD6">
            <w:pPr>
              <w:spacing w:after="0" w:line="240" w:lineRule="auto"/>
              <w:jc w:val="center"/>
              <w:rPr>
                <w:rFonts w:ascii="Times New Roman" w:eastAsia="Times New Roman" w:hAnsi="Times New Roman" w:cs="Times New Roman"/>
                <w:color w:val="000000"/>
                <w:lang w:eastAsia="hr-HR"/>
              </w:rPr>
            </w:pPr>
            <w:r w:rsidRPr="00001A04">
              <w:rPr>
                <w:rFonts w:ascii="Times New Roman" w:eastAsia="Times New Roman" w:hAnsi="Times New Roman" w:cs="Times New Roman"/>
                <w:color w:val="000000"/>
                <w:lang w:eastAsia="hr-HR"/>
              </w:rPr>
              <w:t>3</w:t>
            </w:r>
          </w:p>
        </w:tc>
        <w:tc>
          <w:tcPr>
            <w:tcW w:w="1276" w:type="dxa"/>
            <w:tcBorders>
              <w:top w:val="nil"/>
              <w:left w:val="nil"/>
              <w:bottom w:val="single" w:sz="4" w:space="0" w:color="auto"/>
              <w:right w:val="single" w:sz="4" w:space="0" w:color="auto"/>
            </w:tcBorders>
            <w:shd w:val="clear" w:color="auto" w:fill="auto"/>
            <w:noWrap/>
            <w:vAlign w:val="center"/>
          </w:tcPr>
          <w:p w14:paraId="1683553E" w14:textId="3247D700" w:rsidR="00786540" w:rsidRPr="00001A04" w:rsidRDefault="00786540" w:rsidP="00F66AD6">
            <w:pPr>
              <w:spacing w:after="0" w:line="240" w:lineRule="auto"/>
              <w:jc w:val="center"/>
              <w:rPr>
                <w:rFonts w:ascii="Times New Roman" w:eastAsia="Times New Roman" w:hAnsi="Times New Roman" w:cs="Times New Roman"/>
                <w:color w:val="000000"/>
                <w:lang w:eastAsia="hr-HR"/>
              </w:rPr>
            </w:pPr>
          </w:p>
        </w:tc>
      </w:tr>
      <w:tr w:rsidR="00786540" w:rsidRPr="00375117" w14:paraId="03792F63" w14:textId="77777777" w:rsidTr="00001A04">
        <w:trPr>
          <w:trHeight w:val="340"/>
        </w:trPr>
        <w:tc>
          <w:tcPr>
            <w:tcW w:w="6095" w:type="dxa"/>
            <w:tcBorders>
              <w:top w:val="nil"/>
              <w:left w:val="single" w:sz="4" w:space="0" w:color="auto"/>
              <w:bottom w:val="single" w:sz="4" w:space="0" w:color="auto"/>
              <w:right w:val="single" w:sz="4" w:space="0" w:color="auto"/>
            </w:tcBorders>
            <w:shd w:val="clear" w:color="auto" w:fill="auto"/>
            <w:vAlign w:val="center"/>
            <w:hideMark/>
          </w:tcPr>
          <w:p w14:paraId="7053687D" w14:textId="3BB91749" w:rsidR="00786540" w:rsidRPr="00001A04" w:rsidRDefault="00786540" w:rsidP="00F66AD6">
            <w:pPr>
              <w:spacing w:after="0" w:line="240" w:lineRule="auto"/>
              <w:rPr>
                <w:rFonts w:ascii="Times New Roman" w:eastAsia="Times New Roman" w:hAnsi="Times New Roman" w:cs="Times New Roman"/>
                <w:color w:val="000000"/>
                <w:lang w:eastAsia="hr-HR"/>
              </w:rPr>
            </w:pPr>
            <w:r w:rsidRPr="00001A04">
              <w:rPr>
                <w:rFonts w:ascii="Times New Roman" w:eastAsia="Times New Roman" w:hAnsi="Times New Roman" w:cs="Times New Roman"/>
                <w:iCs/>
                <w:color w:val="000000"/>
                <w:lang w:eastAsia="hr-HR"/>
              </w:rPr>
              <w:t>javni bilježnici</w:t>
            </w:r>
          </w:p>
        </w:tc>
        <w:tc>
          <w:tcPr>
            <w:tcW w:w="993" w:type="dxa"/>
            <w:tcBorders>
              <w:top w:val="nil"/>
              <w:left w:val="nil"/>
              <w:bottom w:val="single" w:sz="4" w:space="0" w:color="auto"/>
              <w:right w:val="single" w:sz="4" w:space="0" w:color="auto"/>
            </w:tcBorders>
            <w:shd w:val="clear" w:color="auto" w:fill="auto"/>
            <w:noWrap/>
            <w:vAlign w:val="center"/>
          </w:tcPr>
          <w:p w14:paraId="4ADC66D7" w14:textId="45FEAAA5" w:rsidR="00786540" w:rsidRPr="00001A04" w:rsidRDefault="00786540" w:rsidP="00F66AD6">
            <w:pPr>
              <w:spacing w:after="0" w:line="240" w:lineRule="auto"/>
              <w:jc w:val="center"/>
              <w:rPr>
                <w:rFonts w:ascii="Times New Roman" w:eastAsia="Times New Roman" w:hAnsi="Times New Roman" w:cs="Times New Roman"/>
                <w:color w:val="000000"/>
                <w:lang w:eastAsia="hr-HR"/>
              </w:rPr>
            </w:pPr>
            <w:r w:rsidRPr="00001A04">
              <w:rPr>
                <w:rFonts w:ascii="Times New Roman" w:eastAsia="Times New Roman" w:hAnsi="Times New Roman" w:cs="Times New Roman"/>
                <w:color w:val="000000"/>
                <w:lang w:eastAsia="hr-HR"/>
              </w:rPr>
              <w:t>1</w:t>
            </w:r>
          </w:p>
        </w:tc>
        <w:tc>
          <w:tcPr>
            <w:tcW w:w="1276" w:type="dxa"/>
            <w:tcBorders>
              <w:top w:val="nil"/>
              <w:left w:val="nil"/>
              <w:bottom w:val="single" w:sz="4" w:space="0" w:color="auto"/>
              <w:right w:val="single" w:sz="4" w:space="0" w:color="auto"/>
            </w:tcBorders>
            <w:shd w:val="clear" w:color="auto" w:fill="auto"/>
            <w:noWrap/>
            <w:vAlign w:val="center"/>
          </w:tcPr>
          <w:p w14:paraId="43A9D600" w14:textId="1D0F89FE" w:rsidR="00786540" w:rsidRPr="00001A04" w:rsidRDefault="00867204" w:rsidP="00F66AD6">
            <w:pPr>
              <w:spacing w:after="0" w:line="240" w:lineRule="auto"/>
              <w:jc w:val="center"/>
              <w:rPr>
                <w:rFonts w:ascii="Times New Roman" w:eastAsia="Times New Roman" w:hAnsi="Times New Roman" w:cs="Times New Roman"/>
                <w:color w:val="000000"/>
                <w:lang w:eastAsia="hr-HR"/>
              </w:rPr>
            </w:pPr>
            <w:r w:rsidRPr="00001A04">
              <w:rPr>
                <w:rFonts w:ascii="Times New Roman" w:eastAsia="Times New Roman" w:hAnsi="Times New Roman" w:cs="Times New Roman"/>
                <w:color w:val="000000"/>
                <w:lang w:eastAsia="hr-HR"/>
              </w:rPr>
              <w:t>4</w:t>
            </w:r>
          </w:p>
        </w:tc>
      </w:tr>
      <w:tr w:rsidR="00786540" w:rsidRPr="00375117" w14:paraId="1911975A" w14:textId="77777777" w:rsidTr="00001A04">
        <w:trPr>
          <w:trHeight w:val="340"/>
        </w:trPr>
        <w:tc>
          <w:tcPr>
            <w:tcW w:w="6095" w:type="dxa"/>
            <w:tcBorders>
              <w:top w:val="nil"/>
              <w:left w:val="single" w:sz="4" w:space="0" w:color="auto"/>
              <w:bottom w:val="single" w:sz="4" w:space="0" w:color="auto"/>
              <w:right w:val="single" w:sz="4" w:space="0" w:color="auto"/>
            </w:tcBorders>
            <w:shd w:val="clear" w:color="auto" w:fill="auto"/>
            <w:vAlign w:val="center"/>
            <w:hideMark/>
          </w:tcPr>
          <w:p w14:paraId="5B1B94A6" w14:textId="5C91572D" w:rsidR="00786540" w:rsidRPr="00001A04" w:rsidRDefault="00786540" w:rsidP="00F66AD6">
            <w:pPr>
              <w:spacing w:after="0" w:line="240" w:lineRule="auto"/>
              <w:rPr>
                <w:rFonts w:ascii="Times New Roman" w:eastAsia="Times New Roman" w:hAnsi="Times New Roman" w:cs="Times New Roman"/>
                <w:color w:val="000000"/>
                <w:lang w:eastAsia="hr-HR"/>
              </w:rPr>
            </w:pPr>
            <w:r w:rsidRPr="00001A04">
              <w:rPr>
                <w:rFonts w:ascii="Times New Roman" w:eastAsia="Times New Roman" w:hAnsi="Times New Roman" w:cs="Times New Roman"/>
                <w:iCs/>
                <w:color w:val="000000"/>
                <w:lang w:eastAsia="hr-HR"/>
              </w:rPr>
              <w:t>društva za pružanje usluga razmjene virtualnih i fiducijalni valuta</w:t>
            </w:r>
          </w:p>
        </w:tc>
        <w:tc>
          <w:tcPr>
            <w:tcW w:w="993" w:type="dxa"/>
            <w:tcBorders>
              <w:top w:val="nil"/>
              <w:left w:val="nil"/>
              <w:bottom w:val="single" w:sz="4" w:space="0" w:color="auto"/>
              <w:right w:val="single" w:sz="4" w:space="0" w:color="auto"/>
            </w:tcBorders>
            <w:shd w:val="clear" w:color="auto" w:fill="auto"/>
            <w:noWrap/>
            <w:vAlign w:val="center"/>
          </w:tcPr>
          <w:p w14:paraId="4C227A2C" w14:textId="30E0594F" w:rsidR="00786540" w:rsidRPr="00001A04" w:rsidRDefault="00786540" w:rsidP="00F66AD6">
            <w:pPr>
              <w:spacing w:after="0" w:line="240" w:lineRule="auto"/>
              <w:jc w:val="center"/>
              <w:rPr>
                <w:rFonts w:ascii="Times New Roman" w:eastAsia="Times New Roman" w:hAnsi="Times New Roman" w:cs="Times New Roman"/>
                <w:color w:val="000000"/>
                <w:lang w:eastAsia="hr-HR"/>
              </w:rPr>
            </w:pPr>
            <w:r w:rsidRPr="00001A04">
              <w:rPr>
                <w:rFonts w:ascii="Times New Roman" w:eastAsia="Times New Roman" w:hAnsi="Times New Roman" w:cs="Times New Roman"/>
                <w:color w:val="000000"/>
                <w:lang w:eastAsia="hr-HR"/>
              </w:rPr>
              <w:t>5</w:t>
            </w:r>
          </w:p>
        </w:tc>
        <w:tc>
          <w:tcPr>
            <w:tcW w:w="1276" w:type="dxa"/>
            <w:tcBorders>
              <w:top w:val="nil"/>
              <w:left w:val="nil"/>
              <w:bottom w:val="single" w:sz="4" w:space="0" w:color="auto"/>
              <w:right w:val="single" w:sz="4" w:space="0" w:color="auto"/>
            </w:tcBorders>
            <w:shd w:val="clear" w:color="auto" w:fill="auto"/>
            <w:noWrap/>
            <w:vAlign w:val="center"/>
          </w:tcPr>
          <w:p w14:paraId="1611FCB9" w14:textId="2AAC816C" w:rsidR="00786540" w:rsidRPr="00001A04" w:rsidRDefault="00786540" w:rsidP="00F66AD6">
            <w:pPr>
              <w:spacing w:after="0" w:line="240" w:lineRule="auto"/>
              <w:jc w:val="center"/>
              <w:rPr>
                <w:rFonts w:ascii="Times New Roman" w:eastAsia="Times New Roman" w:hAnsi="Times New Roman" w:cs="Times New Roman"/>
                <w:color w:val="000000"/>
                <w:lang w:eastAsia="hr-HR"/>
              </w:rPr>
            </w:pPr>
          </w:p>
        </w:tc>
      </w:tr>
      <w:tr w:rsidR="00786540" w:rsidRPr="00375117" w14:paraId="0FDCB9B1" w14:textId="77777777" w:rsidTr="00001A04">
        <w:trPr>
          <w:trHeight w:val="340"/>
        </w:trPr>
        <w:tc>
          <w:tcPr>
            <w:tcW w:w="6095" w:type="dxa"/>
            <w:tcBorders>
              <w:top w:val="nil"/>
              <w:left w:val="single" w:sz="4" w:space="0" w:color="auto"/>
              <w:bottom w:val="single" w:sz="4" w:space="0" w:color="auto"/>
              <w:right w:val="single" w:sz="4" w:space="0" w:color="auto"/>
            </w:tcBorders>
            <w:shd w:val="clear" w:color="auto" w:fill="auto"/>
            <w:vAlign w:val="center"/>
            <w:hideMark/>
          </w:tcPr>
          <w:p w14:paraId="52E80F37" w14:textId="5BED4064" w:rsidR="00786540" w:rsidRPr="00001A04" w:rsidRDefault="00786540" w:rsidP="00F66AD6">
            <w:pPr>
              <w:spacing w:after="0" w:line="240" w:lineRule="auto"/>
              <w:rPr>
                <w:rFonts w:ascii="Times New Roman" w:eastAsia="Times New Roman" w:hAnsi="Times New Roman" w:cs="Times New Roman"/>
                <w:color w:val="000000"/>
                <w:lang w:eastAsia="hr-HR"/>
              </w:rPr>
            </w:pPr>
            <w:r w:rsidRPr="00001A04">
              <w:rPr>
                <w:rFonts w:ascii="Times New Roman" w:eastAsia="Times New Roman" w:hAnsi="Times New Roman" w:cs="Times New Roman"/>
                <w:iCs/>
                <w:color w:val="000000"/>
                <w:lang w:eastAsia="hr-HR"/>
              </w:rPr>
              <w:t>zastupnici institucija za platni promet</w:t>
            </w:r>
          </w:p>
        </w:tc>
        <w:tc>
          <w:tcPr>
            <w:tcW w:w="993" w:type="dxa"/>
            <w:tcBorders>
              <w:top w:val="nil"/>
              <w:left w:val="nil"/>
              <w:bottom w:val="single" w:sz="4" w:space="0" w:color="auto"/>
              <w:right w:val="single" w:sz="4" w:space="0" w:color="auto"/>
            </w:tcBorders>
            <w:shd w:val="clear" w:color="auto" w:fill="auto"/>
            <w:noWrap/>
            <w:vAlign w:val="center"/>
          </w:tcPr>
          <w:p w14:paraId="2B9CA1AD" w14:textId="739496D1" w:rsidR="00786540" w:rsidRPr="00001A04" w:rsidRDefault="00786540" w:rsidP="00F66AD6">
            <w:pPr>
              <w:spacing w:after="0" w:line="240" w:lineRule="auto"/>
              <w:jc w:val="center"/>
              <w:rPr>
                <w:rFonts w:ascii="Times New Roman" w:eastAsia="Times New Roman" w:hAnsi="Times New Roman" w:cs="Times New Roman"/>
                <w:color w:val="000000"/>
                <w:lang w:eastAsia="hr-HR"/>
              </w:rPr>
            </w:pPr>
            <w:r w:rsidRPr="00001A04">
              <w:rPr>
                <w:rFonts w:ascii="Times New Roman" w:eastAsia="Times New Roman" w:hAnsi="Times New Roman" w:cs="Times New Roman"/>
                <w:color w:val="000000"/>
                <w:lang w:eastAsia="hr-HR"/>
              </w:rPr>
              <w:t>92</w:t>
            </w:r>
          </w:p>
        </w:tc>
        <w:tc>
          <w:tcPr>
            <w:tcW w:w="1276" w:type="dxa"/>
            <w:tcBorders>
              <w:top w:val="nil"/>
              <w:left w:val="nil"/>
              <w:bottom w:val="single" w:sz="4" w:space="0" w:color="auto"/>
              <w:right w:val="single" w:sz="4" w:space="0" w:color="auto"/>
            </w:tcBorders>
            <w:shd w:val="clear" w:color="auto" w:fill="auto"/>
            <w:noWrap/>
            <w:vAlign w:val="center"/>
          </w:tcPr>
          <w:p w14:paraId="34CCBE69" w14:textId="5E94E49A" w:rsidR="00786540" w:rsidRPr="00001A04" w:rsidRDefault="00786540" w:rsidP="00F66AD6">
            <w:pPr>
              <w:spacing w:after="0" w:line="240" w:lineRule="auto"/>
              <w:jc w:val="center"/>
              <w:rPr>
                <w:rFonts w:ascii="Times New Roman" w:eastAsia="Times New Roman" w:hAnsi="Times New Roman" w:cs="Times New Roman"/>
                <w:color w:val="000000"/>
                <w:lang w:eastAsia="hr-HR"/>
              </w:rPr>
            </w:pPr>
          </w:p>
        </w:tc>
      </w:tr>
      <w:tr w:rsidR="00786540" w:rsidRPr="00375117" w14:paraId="167A9BD8" w14:textId="77777777" w:rsidTr="00001A04">
        <w:trPr>
          <w:trHeight w:val="340"/>
        </w:trPr>
        <w:tc>
          <w:tcPr>
            <w:tcW w:w="6095" w:type="dxa"/>
            <w:tcBorders>
              <w:top w:val="nil"/>
              <w:left w:val="single" w:sz="4" w:space="0" w:color="auto"/>
              <w:bottom w:val="single" w:sz="4" w:space="0" w:color="auto"/>
              <w:right w:val="single" w:sz="4" w:space="0" w:color="auto"/>
            </w:tcBorders>
            <w:shd w:val="clear" w:color="auto" w:fill="auto"/>
            <w:vAlign w:val="center"/>
            <w:hideMark/>
          </w:tcPr>
          <w:p w14:paraId="21CC67E3" w14:textId="4ABE75CA" w:rsidR="00786540" w:rsidRPr="00001A04" w:rsidRDefault="00786540" w:rsidP="00F66AD6">
            <w:pPr>
              <w:spacing w:after="0" w:line="240" w:lineRule="auto"/>
              <w:rPr>
                <w:rFonts w:ascii="Times New Roman" w:eastAsia="Times New Roman" w:hAnsi="Times New Roman" w:cs="Times New Roman"/>
                <w:color w:val="000000"/>
                <w:lang w:eastAsia="hr-HR"/>
              </w:rPr>
            </w:pPr>
            <w:r w:rsidRPr="00001A04">
              <w:rPr>
                <w:rFonts w:ascii="Times New Roman" w:eastAsia="Times New Roman" w:hAnsi="Times New Roman" w:cs="Times New Roman"/>
                <w:iCs/>
                <w:color w:val="000000"/>
                <w:lang w:eastAsia="hr-HR"/>
              </w:rPr>
              <w:t>društva za upravljanjem investicijskih usluga</w:t>
            </w:r>
          </w:p>
        </w:tc>
        <w:tc>
          <w:tcPr>
            <w:tcW w:w="993" w:type="dxa"/>
            <w:tcBorders>
              <w:top w:val="nil"/>
              <w:left w:val="nil"/>
              <w:bottom w:val="single" w:sz="4" w:space="0" w:color="auto"/>
              <w:right w:val="single" w:sz="4" w:space="0" w:color="auto"/>
            </w:tcBorders>
            <w:shd w:val="clear" w:color="auto" w:fill="auto"/>
            <w:noWrap/>
            <w:vAlign w:val="center"/>
          </w:tcPr>
          <w:p w14:paraId="39BA25DD" w14:textId="448A9621" w:rsidR="00786540" w:rsidRPr="00001A04" w:rsidRDefault="00786540" w:rsidP="00F66AD6">
            <w:pPr>
              <w:spacing w:after="0" w:line="240" w:lineRule="auto"/>
              <w:jc w:val="center"/>
              <w:rPr>
                <w:rFonts w:ascii="Times New Roman" w:eastAsia="Times New Roman" w:hAnsi="Times New Roman" w:cs="Times New Roman"/>
                <w:color w:val="000000"/>
                <w:lang w:eastAsia="hr-HR"/>
              </w:rPr>
            </w:pPr>
            <w:r w:rsidRPr="00001A04">
              <w:rPr>
                <w:rFonts w:ascii="Times New Roman" w:eastAsia="Times New Roman" w:hAnsi="Times New Roman" w:cs="Times New Roman"/>
                <w:color w:val="000000"/>
                <w:lang w:eastAsia="hr-HR"/>
              </w:rPr>
              <w:t>1</w:t>
            </w:r>
          </w:p>
        </w:tc>
        <w:tc>
          <w:tcPr>
            <w:tcW w:w="1276" w:type="dxa"/>
            <w:tcBorders>
              <w:top w:val="nil"/>
              <w:left w:val="nil"/>
              <w:bottom w:val="single" w:sz="4" w:space="0" w:color="auto"/>
              <w:right w:val="single" w:sz="4" w:space="0" w:color="auto"/>
            </w:tcBorders>
            <w:shd w:val="clear" w:color="auto" w:fill="auto"/>
            <w:noWrap/>
            <w:vAlign w:val="center"/>
          </w:tcPr>
          <w:p w14:paraId="284F0AD6" w14:textId="17816F1E" w:rsidR="00786540" w:rsidRPr="00001A04" w:rsidRDefault="00786540" w:rsidP="00F66AD6">
            <w:pPr>
              <w:spacing w:after="0" w:line="240" w:lineRule="auto"/>
              <w:jc w:val="center"/>
              <w:rPr>
                <w:rFonts w:ascii="Times New Roman" w:eastAsia="Times New Roman" w:hAnsi="Times New Roman" w:cs="Times New Roman"/>
                <w:color w:val="000000"/>
                <w:lang w:eastAsia="hr-HR"/>
              </w:rPr>
            </w:pPr>
          </w:p>
        </w:tc>
      </w:tr>
      <w:tr w:rsidR="00786540" w:rsidRPr="00375117" w14:paraId="3DBC8209" w14:textId="77777777" w:rsidTr="00001A04">
        <w:trPr>
          <w:trHeight w:val="340"/>
        </w:trPr>
        <w:tc>
          <w:tcPr>
            <w:tcW w:w="6095" w:type="dxa"/>
            <w:tcBorders>
              <w:top w:val="nil"/>
              <w:left w:val="single" w:sz="4" w:space="0" w:color="auto"/>
              <w:bottom w:val="single" w:sz="4" w:space="0" w:color="auto"/>
              <w:right w:val="single" w:sz="4" w:space="0" w:color="auto"/>
            </w:tcBorders>
            <w:shd w:val="clear" w:color="auto" w:fill="auto"/>
            <w:vAlign w:val="center"/>
            <w:hideMark/>
          </w:tcPr>
          <w:p w14:paraId="78B97B9E" w14:textId="25DF2BC7" w:rsidR="00786540" w:rsidRPr="00001A04" w:rsidRDefault="00867204" w:rsidP="00F66AD6">
            <w:pPr>
              <w:spacing w:after="0" w:line="240" w:lineRule="auto"/>
              <w:rPr>
                <w:rFonts w:ascii="Times New Roman" w:eastAsia="Times New Roman" w:hAnsi="Times New Roman" w:cs="Times New Roman"/>
                <w:color w:val="000000"/>
                <w:lang w:eastAsia="hr-HR"/>
              </w:rPr>
            </w:pPr>
            <w:r w:rsidRPr="00001A04">
              <w:rPr>
                <w:rFonts w:ascii="Times New Roman" w:eastAsia="Times New Roman" w:hAnsi="Times New Roman" w:cs="Times New Roman"/>
                <w:color w:val="000000"/>
                <w:lang w:eastAsia="hr-HR"/>
              </w:rPr>
              <w:t>odvjetničko društvo</w:t>
            </w:r>
          </w:p>
        </w:tc>
        <w:tc>
          <w:tcPr>
            <w:tcW w:w="993" w:type="dxa"/>
            <w:tcBorders>
              <w:top w:val="nil"/>
              <w:left w:val="nil"/>
              <w:bottom w:val="single" w:sz="4" w:space="0" w:color="auto"/>
              <w:right w:val="single" w:sz="4" w:space="0" w:color="auto"/>
            </w:tcBorders>
            <w:shd w:val="clear" w:color="auto" w:fill="auto"/>
            <w:noWrap/>
            <w:vAlign w:val="center"/>
          </w:tcPr>
          <w:p w14:paraId="7EC8478B" w14:textId="495321BC" w:rsidR="00786540" w:rsidRPr="00001A04" w:rsidRDefault="00786540" w:rsidP="00F66AD6">
            <w:pPr>
              <w:spacing w:after="0" w:line="240" w:lineRule="auto"/>
              <w:jc w:val="center"/>
              <w:rPr>
                <w:rFonts w:ascii="Times New Roman" w:eastAsia="Times New Roman" w:hAnsi="Times New Roman" w:cs="Times New Roman"/>
                <w:color w:val="000000"/>
                <w:lang w:eastAsia="hr-HR"/>
              </w:rPr>
            </w:pPr>
          </w:p>
        </w:tc>
        <w:tc>
          <w:tcPr>
            <w:tcW w:w="1276" w:type="dxa"/>
            <w:tcBorders>
              <w:top w:val="nil"/>
              <w:left w:val="nil"/>
              <w:bottom w:val="single" w:sz="4" w:space="0" w:color="auto"/>
              <w:right w:val="single" w:sz="4" w:space="0" w:color="auto"/>
            </w:tcBorders>
            <w:shd w:val="clear" w:color="auto" w:fill="auto"/>
            <w:noWrap/>
            <w:vAlign w:val="center"/>
          </w:tcPr>
          <w:p w14:paraId="5B247854" w14:textId="75EDBDE7" w:rsidR="00786540" w:rsidRPr="00001A04" w:rsidRDefault="00867204" w:rsidP="00F66AD6">
            <w:pPr>
              <w:spacing w:after="0" w:line="240" w:lineRule="auto"/>
              <w:jc w:val="center"/>
              <w:rPr>
                <w:rFonts w:ascii="Times New Roman" w:eastAsia="Times New Roman" w:hAnsi="Times New Roman" w:cs="Times New Roman"/>
                <w:color w:val="000000"/>
                <w:lang w:eastAsia="hr-HR"/>
              </w:rPr>
            </w:pPr>
            <w:r w:rsidRPr="00001A04">
              <w:rPr>
                <w:rFonts w:ascii="Times New Roman" w:eastAsia="Times New Roman" w:hAnsi="Times New Roman" w:cs="Times New Roman"/>
                <w:color w:val="000000"/>
                <w:lang w:eastAsia="hr-HR"/>
              </w:rPr>
              <w:t>1</w:t>
            </w:r>
          </w:p>
        </w:tc>
      </w:tr>
      <w:tr w:rsidR="00786540" w:rsidRPr="00375117" w14:paraId="527561AB" w14:textId="77777777" w:rsidTr="00001A04">
        <w:trPr>
          <w:trHeight w:val="340"/>
        </w:trPr>
        <w:tc>
          <w:tcPr>
            <w:tcW w:w="6095" w:type="dxa"/>
            <w:tcBorders>
              <w:top w:val="nil"/>
              <w:left w:val="single" w:sz="4" w:space="0" w:color="auto"/>
              <w:bottom w:val="single" w:sz="4" w:space="0" w:color="auto"/>
              <w:right w:val="single" w:sz="4" w:space="0" w:color="auto"/>
            </w:tcBorders>
            <w:shd w:val="clear" w:color="auto" w:fill="auto"/>
            <w:vAlign w:val="center"/>
          </w:tcPr>
          <w:p w14:paraId="6DA7FFF1" w14:textId="78601F37" w:rsidR="00786540" w:rsidRPr="00001A04" w:rsidRDefault="00867204" w:rsidP="00F66AD6">
            <w:pPr>
              <w:spacing w:after="0" w:line="240" w:lineRule="auto"/>
              <w:rPr>
                <w:rFonts w:ascii="Times New Roman" w:eastAsia="Times New Roman" w:hAnsi="Times New Roman" w:cs="Times New Roman"/>
                <w:color w:val="000000"/>
                <w:lang w:eastAsia="hr-HR"/>
              </w:rPr>
            </w:pPr>
            <w:r w:rsidRPr="00001A04">
              <w:rPr>
                <w:rFonts w:ascii="Times New Roman" w:eastAsia="Times New Roman" w:hAnsi="Times New Roman" w:cs="Times New Roman"/>
                <w:iCs/>
                <w:color w:val="000000"/>
                <w:lang w:eastAsia="hr-HR"/>
              </w:rPr>
              <w:t>društvo za pružanje usluga igara na sreću</w:t>
            </w:r>
          </w:p>
        </w:tc>
        <w:tc>
          <w:tcPr>
            <w:tcW w:w="993" w:type="dxa"/>
            <w:tcBorders>
              <w:top w:val="nil"/>
              <w:left w:val="nil"/>
              <w:bottom w:val="single" w:sz="4" w:space="0" w:color="auto"/>
              <w:right w:val="single" w:sz="4" w:space="0" w:color="auto"/>
            </w:tcBorders>
            <w:shd w:val="clear" w:color="auto" w:fill="auto"/>
            <w:noWrap/>
            <w:vAlign w:val="center"/>
          </w:tcPr>
          <w:p w14:paraId="6112B1C4" w14:textId="283B5C0F" w:rsidR="00786540" w:rsidRPr="00001A04" w:rsidRDefault="00786540" w:rsidP="00F66AD6">
            <w:pPr>
              <w:spacing w:after="0" w:line="240" w:lineRule="auto"/>
              <w:jc w:val="center"/>
              <w:rPr>
                <w:rFonts w:ascii="Times New Roman" w:eastAsia="Times New Roman" w:hAnsi="Times New Roman" w:cs="Times New Roman"/>
                <w:color w:val="000000"/>
                <w:lang w:eastAsia="hr-HR"/>
              </w:rPr>
            </w:pPr>
          </w:p>
        </w:tc>
        <w:tc>
          <w:tcPr>
            <w:tcW w:w="1276" w:type="dxa"/>
            <w:tcBorders>
              <w:top w:val="nil"/>
              <w:left w:val="nil"/>
              <w:bottom w:val="single" w:sz="4" w:space="0" w:color="auto"/>
              <w:right w:val="single" w:sz="4" w:space="0" w:color="auto"/>
            </w:tcBorders>
            <w:shd w:val="clear" w:color="auto" w:fill="auto"/>
            <w:noWrap/>
            <w:vAlign w:val="center"/>
          </w:tcPr>
          <w:p w14:paraId="53DB8725" w14:textId="144B9B76" w:rsidR="00786540" w:rsidRPr="00001A04" w:rsidRDefault="00867204" w:rsidP="00F66AD6">
            <w:pPr>
              <w:spacing w:after="0" w:line="240" w:lineRule="auto"/>
              <w:jc w:val="center"/>
              <w:rPr>
                <w:rFonts w:ascii="Times New Roman" w:eastAsia="Times New Roman" w:hAnsi="Times New Roman" w:cs="Times New Roman"/>
                <w:color w:val="000000"/>
                <w:lang w:eastAsia="hr-HR"/>
              </w:rPr>
            </w:pPr>
            <w:r w:rsidRPr="00001A04">
              <w:rPr>
                <w:rFonts w:ascii="Times New Roman" w:eastAsia="Times New Roman" w:hAnsi="Times New Roman" w:cs="Times New Roman"/>
                <w:color w:val="000000"/>
                <w:lang w:eastAsia="hr-HR"/>
              </w:rPr>
              <w:t>1</w:t>
            </w:r>
          </w:p>
        </w:tc>
      </w:tr>
      <w:tr w:rsidR="00786540" w:rsidRPr="00375117" w14:paraId="5C80DAB0" w14:textId="77777777" w:rsidTr="00001A04">
        <w:trPr>
          <w:trHeight w:val="340"/>
        </w:trPr>
        <w:tc>
          <w:tcPr>
            <w:tcW w:w="6095" w:type="dxa"/>
            <w:tcBorders>
              <w:top w:val="nil"/>
              <w:left w:val="single" w:sz="4" w:space="0" w:color="auto"/>
              <w:bottom w:val="single" w:sz="4" w:space="0" w:color="auto"/>
              <w:right w:val="single" w:sz="4" w:space="0" w:color="auto"/>
            </w:tcBorders>
            <w:shd w:val="clear" w:color="auto" w:fill="auto"/>
            <w:vAlign w:val="center"/>
          </w:tcPr>
          <w:p w14:paraId="7C30B5C2" w14:textId="223939B5" w:rsidR="00786540" w:rsidRPr="00001A04" w:rsidRDefault="00867204" w:rsidP="00F66AD6">
            <w:pPr>
              <w:spacing w:after="0" w:line="240" w:lineRule="auto"/>
              <w:rPr>
                <w:rFonts w:ascii="Times New Roman" w:eastAsia="Times New Roman" w:hAnsi="Times New Roman" w:cs="Times New Roman"/>
                <w:color w:val="000000"/>
                <w:lang w:eastAsia="hr-HR"/>
              </w:rPr>
            </w:pPr>
            <w:r w:rsidRPr="00001A04">
              <w:rPr>
                <w:rFonts w:ascii="Times New Roman" w:eastAsia="Times New Roman" w:hAnsi="Times New Roman" w:cs="Times New Roman"/>
                <w:color w:val="000000"/>
                <w:lang w:eastAsia="hr-HR"/>
              </w:rPr>
              <w:t>društvo za posredovanje u prometu nekretninama</w:t>
            </w:r>
          </w:p>
        </w:tc>
        <w:tc>
          <w:tcPr>
            <w:tcW w:w="993" w:type="dxa"/>
            <w:tcBorders>
              <w:top w:val="nil"/>
              <w:left w:val="nil"/>
              <w:bottom w:val="single" w:sz="4" w:space="0" w:color="auto"/>
              <w:right w:val="single" w:sz="4" w:space="0" w:color="auto"/>
            </w:tcBorders>
            <w:shd w:val="clear" w:color="auto" w:fill="auto"/>
            <w:noWrap/>
            <w:vAlign w:val="center"/>
          </w:tcPr>
          <w:p w14:paraId="73B9CF1B" w14:textId="3A69BE36" w:rsidR="00786540" w:rsidRPr="00001A04" w:rsidRDefault="00786540" w:rsidP="00F66AD6">
            <w:pPr>
              <w:spacing w:after="0" w:line="240" w:lineRule="auto"/>
              <w:jc w:val="center"/>
              <w:rPr>
                <w:rFonts w:ascii="Times New Roman" w:eastAsia="Times New Roman" w:hAnsi="Times New Roman" w:cs="Times New Roman"/>
                <w:color w:val="000000"/>
                <w:lang w:eastAsia="hr-HR"/>
              </w:rPr>
            </w:pPr>
          </w:p>
        </w:tc>
        <w:tc>
          <w:tcPr>
            <w:tcW w:w="1276" w:type="dxa"/>
            <w:tcBorders>
              <w:top w:val="nil"/>
              <w:left w:val="nil"/>
              <w:bottom w:val="single" w:sz="4" w:space="0" w:color="auto"/>
              <w:right w:val="single" w:sz="4" w:space="0" w:color="auto"/>
            </w:tcBorders>
            <w:shd w:val="clear" w:color="auto" w:fill="auto"/>
            <w:noWrap/>
            <w:vAlign w:val="center"/>
          </w:tcPr>
          <w:p w14:paraId="7213BAF9" w14:textId="35A1D331" w:rsidR="00786540" w:rsidRPr="00001A04" w:rsidRDefault="00867204" w:rsidP="00F66AD6">
            <w:pPr>
              <w:spacing w:after="0" w:line="240" w:lineRule="auto"/>
              <w:jc w:val="center"/>
              <w:rPr>
                <w:rFonts w:ascii="Times New Roman" w:eastAsia="Times New Roman" w:hAnsi="Times New Roman" w:cs="Times New Roman"/>
                <w:color w:val="000000"/>
                <w:lang w:eastAsia="hr-HR"/>
              </w:rPr>
            </w:pPr>
            <w:r w:rsidRPr="00001A04">
              <w:rPr>
                <w:rFonts w:ascii="Times New Roman" w:eastAsia="Times New Roman" w:hAnsi="Times New Roman" w:cs="Times New Roman"/>
                <w:color w:val="000000"/>
                <w:lang w:eastAsia="hr-HR"/>
              </w:rPr>
              <w:t>1</w:t>
            </w:r>
          </w:p>
        </w:tc>
      </w:tr>
      <w:tr w:rsidR="00786540" w:rsidRPr="00375117" w14:paraId="1B654882" w14:textId="77777777" w:rsidTr="00001A04">
        <w:trPr>
          <w:trHeight w:val="340"/>
        </w:trPr>
        <w:tc>
          <w:tcPr>
            <w:tcW w:w="6095" w:type="dxa"/>
            <w:tcBorders>
              <w:top w:val="nil"/>
              <w:left w:val="single" w:sz="4" w:space="0" w:color="auto"/>
              <w:bottom w:val="single" w:sz="4" w:space="0" w:color="auto"/>
              <w:right w:val="single" w:sz="4" w:space="0" w:color="auto"/>
            </w:tcBorders>
            <w:shd w:val="clear" w:color="000000" w:fill="F2F2F2"/>
            <w:noWrap/>
            <w:vAlign w:val="center"/>
            <w:hideMark/>
          </w:tcPr>
          <w:p w14:paraId="52F36C54" w14:textId="77777777" w:rsidR="00786540" w:rsidRPr="00001A04" w:rsidRDefault="00786540" w:rsidP="00F66AD6">
            <w:pPr>
              <w:spacing w:after="0" w:line="240" w:lineRule="auto"/>
              <w:jc w:val="right"/>
              <w:rPr>
                <w:rFonts w:ascii="Times New Roman" w:eastAsia="Times New Roman" w:hAnsi="Times New Roman" w:cs="Times New Roman"/>
                <w:b/>
                <w:color w:val="000000"/>
                <w:lang w:eastAsia="hr-HR"/>
              </w:rPr>
            </w:pPr>
            <w:r w:rsidRPr="00001A04">
              <w:rPr>
                <w:rFonts w:ascii="Times New Roman" w:eastAsia="Times New Roman" w:hAnsi="Times New Roman" w:cs="Times New Roman"/>
                <w:b/>
                <w:color w:val="000000"/>
                <w:lang w:eastAsia="hr-HR"/>
              </w:rPr>
              <w:t>Ukupno:</w:t>
            </w:r>
          </w:p>
        </w:tc>
        <w:tc>
          <w:tcPr>
            <w:tcW w:w="993" w:type="dxa"/>
            <w:tcBorders>
              <w:top w:val="nil"/>
              <w:left w:val="nil"/>
              <w:bottom w:val="single" w:sz="4" w:space="0" w:color="auto"/>
              <w:right w:val="single" w:sz="4" w:space="0" w:color="auto"/>
            </w:tcBorders>
            <w:shd w:val="clear" w:color="000000" w:fill="F2F2F2"/>
            <w:noWrap/>
            <w:vAlign w:val="center"/>
          </w:tcPr>
          <w:p w14:paraId="5F8FAAA1" w14:textId="1B7175D0" w:rsidR="00786540" w:rsidRPr="00001A04" w:rsidRDefault="00867204" w:rsidP="00F66AD6">
            <w:pPr>
              <w:spacing w:after="0" w:line="240" w:lineRule="auto"/>
              <w:jc w:val="center"/>
              <w:rPr>
                <w:rFonts w:ascii="Times New Roman" w:eastAsia="Times New Roman" w:hAnsi="Times New Roman" w:cs="Times New Roman"/>
                <w:b/>
                <w:color w:val="000000"/>
                <w:lang w:eastAsia="hr-HR"/>
              </w:rPr>
            </w:pPr>
            <w:r w:rsidRPr="00001A04">
              <w:rPr>
                <w:rFonts w:ascii="Times New Roman" w:eastAsia="Times New Roman" w:hAnsi="Times New Roman" w:cs="Times New Roman"/>
                <w:b/>
                <w:color w:val="000000"/>
                <w:lang w:eastAsia="hr-HR"/>
              </w:rPr>
              <w:t>115</w:t>
            </w:r>
          </w:p>
        </w:tc>
        <w:tc>
          <w:tcPr>
            <w:tcW w:w="1276" w:type="dxa"/>
            <w:tcBorders>
              <w:top w:val="nil"/>
              <w:left w:val="nil"/>
              <w:bottom w:val="single" w:sz="4" w:space="0" w:color="auto"/>
              <w:right w:val="single" w:sz="4" w:space="0" w:color="auto"/>
            </w:tcBorders>
            <w:shd w:val="clear" w:color="000000" w:fill="F2F2F2"/>
            <w:noWrap/>
            <w:vAlign w:val="center"/>
          </w:tcPr>
          <w:p w14:paraId="66738BD6" w14:textId="51A56733" w:rsidR="00786540" w:rsidRPr="00001A04" w:rsidRDefault="00867204" w:rsidP="00F66AD6">
            <w:pPr>
              <w:spacing w:after="0" w:line="240" w:lineRule="auto"/>
              <w:jc w:val="center"/>
              <w:rPr>
                <w:rFonts w:ascii="Times New Roman" w:eastAsia="Times New Roman" w:hAnsi="Times New Roman" w:cs="Times New Roman"/>
                <w:b/>
                <w:color w:val="000000"/>
                <w:lang w:eastAsia="hr-HR"/>
              </w:rPr>
            </w:pPr>
            <w:r w:rsidRPr="00001A04">
              <w:rPr>
                <w:rFonts w:ascii="Times New Roman" w:eastAsia="Times New Roman" w:hAnsi="Times New Roman" w:cs="Times New Roman"/>
                <w:b/>
                <w:color w:val="000000"/>
                <w:lang w:eastAsia="hr-HR"/>
              </w:rPr>
              <w:t>7</w:t>
            </w:r>
          </w:p>
        </w:tc>
      </w:tr>
    </w:tbl>
    <w:p w14:paraId="312D8E17" w14:textId="555E0968" w:rsidR="00786540" w:rsidRDefault="00786540" w:rsidP="00375117">
      <w:pPr>
        <w:jc w:val="both"/>
        <w:rPr>
          <w:rFonts w:ascii="Times New Roman" w:eastAsia="Calibri" w:hAnsi="Times New Roman" w:cs="Times New Roman"/>
          <w:iCs/>
          <w:sz w:val="24"/>
          <w:szCs w:val="24"/>
          <w:lang w:eastAsia="hr-HR"/>
        </w:rPr>
      </w:pPr>
    </w:p>
    <w:p w14:paraId="52898CA9" w14:textId="77777777" w:rsidR="008A655C" w:rsidRPr="008A655C" w:rsidRDefault="008A655C" w:rsidP="008A655C">
      <w:pPr>
        <w:spacing w:after="0" w:line="240" w:lineRule="auto"/>
        <w:contextualSpacing/>
        <w:jc w:val="both"/>
        <w:rPr>
          <w:rFonts w:ascii="Times New Roman" w:eastAsia="Calibri" w:hAnsi="Times New Roman" w:cs="Times New Roman"/>
          <w:b/>
          <w:iCs/>
          <w:sz w:val="24"/>
          <w:szCs w:val="24"/>
          <w:lang w:eastAsia="hr-HR"/>
        </w:rPr>
      </w:pPr>
      <w:r w:rsidRPr="008A655C">
        <w:rPr>
          <w:rFonts w:ascii="Times New Roman" w:eastAsia="Calibri" w:hAnsi="Times New Roman" w:cs="Times New Roman"/>
          <w:b/>
          <w:iCs/>
          <w:sz w:val="24"/>
          <w:szCs w:val="24"/>
          <w:lang w:eastAsia="hr-HR"/>
        </w:rPr>
        <w:t>Nadzor prijava neusklađenosti informacija o stvarnom vlasništvu koje su dostupne obvezniku sa informacijama koje se nalaze u Registru stvarnih vlasnika</w:t>
      </w:r>
    </w:p>
    <w:p w14:paraId="2D48AEC3" w14:textId="77777777" w:rsidR="00867204" w:rsidRDefault="00867204" w:rsidP="008A655C">
      <w:pPr>
        <w:spacing w:after="0" w:line="240" w:lineRule="auto"/>
        <w:contextualSpacing/>
        <w:jc w:val="both"/>
        <w:rPr>
          <w:rFonts w:ascii="Times New Roman" w:eastAsia="Calibri" w:hAnsi="Times New Roman" w:cs="Times New Roman"/>
          <w:iCs/>
          <w:sz w:val="24"/>
          <w:szCs w:val="24"/>
          <w:lang w:eastAsia="hr-HR"/>
        </w:rPr>
      </w:pPr>
    </w:p>
    <w:p w14:paraId="7178AEE8" w14:textId="7826B025" w:rsidR="008A655C" w:rsidRPr="008A655C" w:rsidRDefault="008A655C" w:rsidP="008A655C">
      <w:pPr>
        <w:spacing w:after="0" w:line="240" w:lineRule="auto"/>
        <w:contextualSpacing/>
        <w:jc w:val="both"/>
        <w:rPr>
          <w:rFonts w:ascii="Times New Roman" w:eastAsia="Calibri" w:hAnsi="Times New Roman" w:cs="Times New Roman"/>
          <w:iCs/>
          <w:sz w:val="24"/>
          <w:szCs w:val="24"/>
          <w:lang w:eastAsia="hr-HR"/>
        </w:rPr>
      </w:pPr>
      <w:r w:rsidRPr="008A655C">
        <w:rPr>
          <w:rFonts w:ascii="Times New Roman" w:eastAsia="Calibri" w:hAnsi="Times New Roman" w:cs="Times New Roman"/>
          <w:iCs/>
          <w:sz w:val="24"/>
          <w:szCs w:val="24"/>
          <w:lang w:eastAsia="hr-HR"/>
        </w:rPr>
        <w:t xml:space="preserve">Radi osiguranja odgovarajućih, točnih i ažurnih informacija o stvarnom vlasništvu pravnih subjekata, u skladu sa člankom 35. a Zakona uspostavljen je kontrolni mehanizam kojim su obveznici dužni Ured obavještavati o neusklađenosti informacija o stvarnom vlasništvu koje su dostupne obvezniku sa informacijama koje se nalaze u Registru stvarnih vlasnika.  </w:t>
      </w:r>
    </w:p>
    <w:p w14:paraId="3DDAE249" w14:textId="408EAEDD" w:rsidR="008A655C" w:rsidRDefault="008A655C" w:rsidP="008A655C">
      <w:pPr>
        <w:jc w:val="both"/>
        <w:rPr>
          <w:rFonts w:ascii="Times New Roman" w:eastAsia="Calibri" w:hAnsi="Times New Roman" w:cs="Times New Roman"/>
          <w:iCs/>
          <w:sz w:val="24"/>
          <w:szCs w:val="24"/>
          <w:lang w:eastAsia="hr-HR"/>
        </w:rPr>
      </w:pPr>
      <w:r w:rsidRPr="008A655C">
        <w:rPr>
          <w:rFonts w:ascii="Times New Roman" w:eastAsia="Calibri" w:hAnsi="Times New Roman" w:cs="Times New Roman"/>
          <w:iCs/>
          <w:sz w:val="24"/>
          <w:szCs w:val="24"/>
          <w:lang w:eastAsia="hr-HR"/>
        </w:rPr>
        <w:t xml:space="preserve">Tijekom 2022. osam banaka obavijestilo je Ured o postojanju neusklađenosti između informacija o stvarnom vlasniku pojedinog pravnog subjekta koja se vodi u Registru i informacija o stvarnom vlasniku koje su obveznici utvrdili prilikom provođenja mjera dubinske analize. Na temelju dostavljenih prijava neusklađenosti informacija o stvarnom vlasništvu, obavljena su dva neizravna nadzora kod dvije banke. Banke su tijekom 2022. prijavile 462 pravnih osoba koje u Registar stvarnih vlasnika nisu upisale točne i ažurne podatke o stvarnom vlasništvu. Nakon obavljene analize prijava o neusklađenostima zaprimljenih od strane banaka, Ured je obavijestio Poreznu upravu s prijedlogom za nadzor kod 277 pravnih osoba. </w:t>
      </w:r>
    </w:p>
    <w:p w14:paraId="334F1636" w14:textId="77777777" w:rsidR="008224D5" w:rsidRPr="008A655C" w:rsidRDefault="008224D5" w:rsidP="00001A04">
      <w:pPr>
        <w:spacing w:after="0" w:line="240" w:lineRule="auto"/>
        <w:jc w:val="both"/>
        <w:rPr>
          <w:rFonts w:ascii="Times New Roman" w:eastAsia="Calibri" w:hAnsi="Times New Roman" w:cs="Times New Roman"/>
          <w:iCs/>
          <w:sz w:val="24"/>
          <w:szCs w:val="24"/>
          <w:lang w:eastAsia="hr-HR"/>
        </w:rPr>
      </w:pPr>
    </w:p>
    <w:p w14:paraId="1127D992" w14:textId="77777777" w:rsidR="008A655C" w:rsidRPr="008A655C" w:rsidRDefault="008A655C" w:rsidP="008A655C">
      <w:pPr>
        <w:jc w:val="both"/>
        <w:rPr>
          <w:rFonts w:ascii="Times New Roman" w:eastAsia="Calibri" w:hAnsi="Times New Roman" w:cs="Times New Roman"/>
          <w:b/>
          <w:iCs/>
          <w:sz w:val="24"/>
          <w:szCs w:val="24"/>
          <w:lang w:eastAsia="hr-HR"/>
        </w:rPr>
      </w:pPr>
      <w:r w:rsidRPr="008A655C">
        <w:rPr>
          <w:rFonts w:ascii="Times New Roman" w:eastAsia="Calibri" w:hAnsi="Times New Roman" w:cs="Times New Roman"/>
          <w:b/>
          <w:iCs/>
          <w:sz w:val="24"/>
          <w:szCs w:val="24"/>
          <w:lang w:eastAsia="hr-HR"/>
        </w:rPr>
        <w:t>Ciljani nadzor pojedinog obveznika</w:t>
      </w:r>
    </w:p>
    <w:p w14:paraId="40D281B8" w14:textId="081AFFEF" w:rsidR="008A655C" w:rsidRDefault="008A655C" w:rsidP="008A655C">
      <w:pPr>
        <w:jc w:val="both"/>
        <w:rPr>
          <w:rFonts w:ascii="Times New Roman" w:eastAsia="Calibri" w:hAnsi="Times New Roman" w:cs="Times New Roman"/>
          <w:iCs/>
          <w:sz w:val="24"/>
          <w:szCs w:val="24"/>
          <w:lang w:eastAsia="hr-HR"/>
        </w:rPr>
      </w:pPr>
      <w:r w:rsidRPr="008A655C">
        <w:rPr>
          <w:rFonts w:ascii="Times New Roman" w:eastAsia="Calibri" w:hAnsi="Times New Roman" w:cs="Times New Roman"/>
          <w:iCs/>
          <w:sz w:val="24"/>
          <w:szCs w:val="24"/>
          <w:lang w:eastAsia="hr-HR"/>
        </w:rPr>
        <w:t>Tijekom 2022. Ured je od Financijskog inspektorata na temelju članka 140. Zakona zahtijevao obavljanje ciljanog nadzora kod jednoga javnog bilježnika i jednoga obveznika koji se bavi pružanjem računovodstvenih usluga društva s posebnim naglaskom na prepoznavanje sumnjivih transakcija, sredstava i osoba i njihovo prijavljivanje Uredu te utvrđivanja i provjere identiteta pravne osove i zakon</w:t>
      </w:r>
      <w:r w:rsidR="00001A04">
        <w:rPr>
          <w:rFonts w:ascii="Times New Roman" w:eastAsia="Calibri" w:hAnsi="Times New Roman" w:cs="Times New Roman"/>
          <w:iCs/>
          <w:sz w:val="24"/>
          <w:szCs w:val="24"/>
          <w:lang w:eastAsia="hr-HR"/>
        </w:rPr>
        <w:t xml:space="preserve">skog zastupnika pravne osobe. </w:t>
      </w:r>
      <w:r w:rsidR="00217103">
        <w:rPr>
          <w:rFonts w:ascii="Times New Roman" w:eastAsia="Calibri" w:hAnsi="Times New Roman" w:cs="Times New Roman"/>
          <w:iCs/>
          <w:sz w:val="24"/>
          <w:szCs w:val="24"/>
          <w:lang w:eastAsia="hr-HR"/>
        </w:rPr>
        <w:t xml:space="preserve">U Tablici </w:t>
      </w:r>
      <w:r w:rsidR="00001A04">
        <w:rPr>
          <w:rFonts w:ascii="Times New Roman" w:eastAsia="Calibri" w:hAnsi="Times New Roman" w:cs="Times New Roman"/>
          <w:iCs/>
          <w:sz w:val="24"/>
          <w:szCs w:val="24"/>
          <w:lang w:eastAsia="hr-HR"/>
        </w:rPr>
        <w:t>2</w:t>
      </w:r>
      <w:r w:rsidR="00E205F1">
        <w:rPr>
          <w:rFonts w:ascii="Times New Roman" w:eastAsia="Calibri" w:hAnsi="Times New Roman" w:cs="Times New Roman"/>
          <w:iCs/>
          <w:sz w:val="24"/>
          <w:szCs w:val="24"/>
          <w:lang w:eastAsia="hr-HR"/>
        </w:rPr>
        <w:t>3</w:t>
      </w:r>
      <w:r w:rsidR="00217103">
        <w:rPr>
          <w:rFonts w:ascii="Times New Roman" w:eastAsia="Calibri" w:hAnsi="Times New Roman" w:cs="Times New Roman"/>
          <w:iCs/>
          <w:sz w:val="24"/>
          <w:szCs w:val="24"/>
          <w:lang w:eastAsia="hr-HR"/>
        </w:rPr>
        <w:t xml:space="preserve"> prikazan je broj ciljanih nadzora dostavljenih Financijskom inspektoratu</w:t>
      </w:r>
      <w:r w:rsidR="00EE4DD5">
        <w:rPr>
          <w:rFonts w:ascii="Times New Roman" w:eastAsia="Calibri" w:hAnsi="Times New Roman" w:cs="Times New Roman"/>
          <w:iCs/>
          <w:sz w:val="24"/>
          <w:szCs w:val="24"/>
          <w:lang w:eastAsia="hr-HR"/>
        </w:rPr>
        <w:t>.</w:t>
      </w:r>
      <w:r w:rsidR="00217103">
        <w:rPr>
          <w:rFonts w:ascii="Times New Roman" w:eastAsia="Calibri" w:hAnsi="Times New Roman" w:cs="Times New Roman"/>
          <w:iCs/>
          <w:sz w:val="24"/>
          <w:szCs w:val="24"/>
          <w:lang w:eastAsia="hr-HR"/>
        </w:rPr>
        <w:t xml:space="preserve"> </w:t>
      </w:r>
    </w:p>
    <w:p w14:paraId="0E93EC3A" w14:textId="77777777" w:rsidR="00001A04" w:rsidRDefault="00001A04">
      <w:pPr>
        <w:rPr>
          <w:rFonts w:ascii="Times New Roman" w:eastAsia="Calibri" w:hAnsi="Times New Roman" w:cs="Times New Roman"/>
          <w:iCs/>
          <w:sz w:val="24"/>
          <w:szCs w:val="24"/>
          <w:lang w:eastAsia="hr-HR"/>
        </w:rPr>
      </w:pPr>
      <w:r>
        <w:rPr>
          <w:rFonts w:ascii="Times New Roman" w:eastAsia="Calibri" w:hAnsi="Times New Roman" w:cs="Times New Roman"/>
          <w:iCs/>
          <w:sz w:val="24"/>
          <w:szCs w:val="24"/>
          <w:lang w:eastAsia="hr-HR"/>
        </w:rPr>
        <w:br w:type="page"/>
      </w:r>
    </w:p>
    <w:p w14:paraId="62CE3AAE" w14:textId="3579E874" w:rsidR="008224D5" w:rsidRPr="008A655C" w:rsidRDefault="00217103" w:rsidP="008A655C">
      <w:pPr>
        <w:jc w:val="both"/>
        <w:rPr>
          <w:rFonts w:ascii="Times New Roman" w:eastAsia="Calibri" w:hAnsi="Times New Roman" w:cs="Times New Roman"/>
          <w:iCs/>
          <w:sz w:val="24"/>
          <w:szCs w:val="24"/>
          <w:lang w:eastAsia="hr-HR"/>
        </w:rPr>
      </w:pPr>
      <w:r>
        <w:rPr>
          <w:rFonts w:ascii="Times New Roman" w:eastAsia="Calibri" w:hAnsi="Times New Roman" w:cs="Times New Roman"/>
          <w:iCs/>
          <w:sz w:val="24"/>
          <w:szCs w:val="24"/>
          <w:lang w:eastAsia="hr-HR"/>
        </w:rPr>
        <w:lastRenderedPageBreak/>
        <w:t>Ta</w:t>
      </w:r>
      <w:r w:rsidR="00001A04">
        <w:rPr>
          <w:rFonts w:ascii="Times New Roman" w:eastAsia="Calibri" w:hAnsi="Times New Roman" w:cs="Times New Roman"/>
          <w:iCs/>
          <w:sz w:val="24"/>
          <w:szCs w:val="24"/>
          <w:lang w:eastAsia="hr-HR"/>
        </w:rPr>
        <w:t>blica 2</w:t>
      </w:r>
      <w:r w:rsidR="00E205F1">
        <w:rPr>
          <w:rFonts w:ascii="Times New Roman" w:eastAsia="Calibri" w:hAnsi="Times New Roman" w:cs="Times New Roman"/>
          <w:iCs/>
          <w:sz w:val="24"/>
          <w:szCs w:val="24"/>
          <w:lang w:eastAsia="hr-HR"/>
        </w:rPr>
        <w:t>3</w:t>
      </w:r>
      <w:r w:rsidR="00863EF0">
        <w:rPr>
          <w:rFonts w:ascii="Times New Roman" w:eastAsia="Calibri" w:hAnsi="Times New Roman" w:cs="Times New Roman"/>
          <w:iCs/>
          <w:sz w:val="24"/>
          <w:szCs w:val="24"/>
          <w:lang w:eastAsia="hr-HR"/>
        </w:rPr>
        <w:t>.</w:t>
      </w:r>
    </w:p>
    <w:tbl>
      <w:tblPr>
        <w:tblW w:w="7088" w:type="dxa"/>
        <w:tblInd w:w="-5" w:type="dxa"/>
        <w:tblLayout w:type="fixed"/>
        <w:tblLook w:val="04A0" w:firstRow="1" w:lastRow="0" w:firstColumn="1" w:lastColumn="0" w:noHBand="0" w:noVBand="1"/>
      </w:tblPr>
      <w:tblGrid>
        <w:gridCol w:w="3119"/>
        <w:gridCol w:w="1984"/>
        <w:gridCol w:w="1985"/>
      </w:tblGrid>
      <w:tr w:rsidR="008224D5" w:rsidRPr="00001A04" w14:paraId="3099F7EC" w14:textId="77777777" w:rsidTr="003D67D0">
        <w:trPr>
          <w:trHeight w:val="460"/>
        </w:trPr>
        <w:tc>
          <w:tcPr>
            <w:tcW w:w="311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752F788" w14:textId="6CE85A44" w:rsidR="008224D5" w:rsidRPr="00001A04" w:rsidRDefault="00001A04" w:rsidP="00001A04">
            <w:pPr>
              <w:spacing w:after="0" w:line="240" w:lineRule="auto"/>
              <w:jc w:val="center"/>
              <w:rPr>
                <w:rFonts w:ascii="Times New Roman" w:eastAsia="Times New Roman" w:hAnsi="Times New Roman" w:cs="Times New Roman"/>
                <w:b/>
                <w:color w:val="000000"/>
                <w:lang w:eastAsia="hr-HR"/>
              </w:rPr>
            </w:pPr>
            <w:r>
              <w:rPr>
                <w:rFonts w:ascii="Times New Roman" w:eastAsia="Times New Roman" w:hAnsi="Times New Roman" w:cs="Times New Roman"/>
                <w:b/>
                <w:color w:val="000000"/>
                <w:lang w:eastAsia="hr-HR"/>
              </w:rPr>
              <w:t xml:space="preserve">Prijedlog za </w:t>
            </w:r>
            <w:r w:rsidR="008224D5" w:rsidRPr="00001A04">
              <w:rPr>
                <w:rFonts w:ascii="Times New Roman" w:eastAsia="Times New Roman" w:hAnsi="Times New Roman" w:cs="Times New Roman"/>
                <w:b/>
                <w:color w:val="000000"/>
                <w:lang w:eastAsia="hr-HR"/>
              </w:rPr>
              <w:t>ciljani nadzor</w:t>
            </w:r>
            <w:r w:rsidR="00217103" w:rsidRPr="00001A04">
              <w:rPr>
                <w:rFonts w:ascii="Times New Roman" w:eastAsia="Times New Roman" w:hAnsi="Times New Roman" w:cs="Times New Roman"/>
                <w:b/>
                <w:color w:val="000000"/>
                <w:lang w:eastAsia="hr-HR"/>
              </w:rPr>
              <w:t xml:space="preserve"> Financijsk</w:t>
            </w:r>
            <w:r>
              <w:rPr>
                <w:rFonts w:ascii="Times New Roman" w:eastAsia="Times New Roman" w:hAnsi="Times New Roman" w:cs="Times New Roman"/>
                <w:b/>
                <w:color w:val="000000"/>
                <w:lang w:eastAsia="hr-HR"/>
              </w:rPr>
              <w:t>om</w:t>
            </w:r>
            <w:r w:rsidR="00217103" w:rsidRPr="00001A04">
              <w:rPr>
                <w:rFonts w:ascii="Times New Roman" w:eastAsia="Times New Roman" w:hAnsi="Times New Roman" w:cs="Times New Roman"/>
                <w:b/>
                <w:color w:val="000000"/>
                <w:lang w:eastAsia="hr-HR"/>
              </w:rPr>
              <w:t xml:space="preserve"> inspektorat</w:t>
            </w:r>
            <w:r>
              <w:rPr>
                <w:rFonts w:ascii="Times New Roman" w:eastAsia="Times New Roman" w:hAnsi="Times New Roman" w:cs="Times New Roman"/>
                <w:b/>
                <w:color w:val="000000"/>
                <w:lang w:eastAsia="hr-HR"/>
              </w:rPr>
              <w:t>u</w:t>
            </w:r>
          </w:p>
        </w:tc>
        <w:tc>
          <w:tcPr>
            <w:tcW w:w="1984" w:type="dxa"/>
            <w:tcBorders>
              <w:top w:val="single" w:sz="4" w:space="0" w:color="auto"/>
              <w:left w:val="nil"/>
              <w:bottom w:val="single" w:sz="4" w:space="0" w:color="auto"/>
              <w:right w:val="single" w:sz="4" w:space="0" w:color="auto"/>
            </w:tcBorders>
            <w:shd w:val="clear" w:color="000000" w:fill="F2F2F2"/>
            <w:noWrap/>
            <w:vAlign w:val="center"/>
            <w:hideMark/>
          </w:tcPr>
          <w:p w14:paraId="44EF2719" w14:textId="77777777" w:rsidR="008224D5" w:rsidRPr="00001A04" w:rsidRDefault="008224D5" w:rsidP="00F66AD6">
            <w:pPr>
              <w:spacing w:after="0" w:line="240" w:lineRule="auto"/>
              <w:jc w:val="center"/>
              <w:rPr>
                <w:rFonts w:ascii="Times New Roman" w:eastAsia="Times New Roman" w:hAnsi="Times New Roman" w:cs="Times New Roman"/>
                <w:b/>
                <w:color w:val="000000"/>
                <w:lang w:eastAsia="hr-HR"/>
              </w:rPr>
            </w:pPr>
            <w:r w:rsidRPr="00001A04">
              <w:rPr>
                <w:rFonts w:ascii="Times New Roman" w:eastAsia="Times New Roman" w:hAnsi="Times New Roman" w:cs="Times New Roman"/>
                <w:b/>
                <w:color w:val="000000"/>
                <w:lang w:eastAsia="hr-HR"/>
              </w:rPr>
              <w:t>2021.</w:t>
            </w:r>
          </w:p>
        </w:tc>
        <w:tc>
          <w:tcPr>
            <w:tcW w:w="1985" w:type="dxa"/>
            <w:tcBorders>
              <w:top w:val="single" w:sz="4" w:space="0" w:color="auto"/>
              <w:left w:val="nil"/>
              <w:bottom w:val="single" w:sz="4" w:space="0" w:color="auto"/>
              <w:right w:val="single" w:sz="4" w:space="0" w:color="auto"/>
            </w:tcBorders>
            <w:shd w:val="clear" w:color="000000" w:fill="F2F2F2"/>
            <w:vAlign w:val="center"/>
          </w:tcPr>
          <w:p w14:paraId="25BBCC51" w14:textId="77777777" w:rsidR="008224D5" w:rsidRPr="00001A04" w:rsidRDefault="008224D5" w:rsidP="00F66AD6">
            <w:pPr>
              <w:spacing w:after="0" w:line="240" w:lineRule="auto"/>
              <w:jc w:val="center"/>
              <w:rPr>
                <w:rFonts w:ascii="Times New Roman" w:eastAsia="Times New Roman" w:hAnsi="Times New Roman" w:cs="Times New Roman"/>
                <w:b/>
                <w:color w:val="000000"/>
                <w:lang w:eastAsia="hr-HR"/>
              </w:rPr>
            </w:pPr>
            <w:r w:rsidRPr="00001A04">
              <w:rPr>
                <w:rFonts w:ascii="Times New Roman" w:eastAsia="Times New Roman" w:hAnsi="Times New Roman" w:cs="Times New Roman"/>
                <w:b/>
                <w:color w:val="000000"/>
                <w:lang w:eastAsia="hr-HR"/>
              </w:rPr>
              <w:t>2022.</w:t>
            </w:r>
          </w:p>
        </w:tc>
      </w:tr>
      <w:tr w:rsidR="008224D5" w:rsidRPr="00001A04" w14:paraId="7336EC02" w14:textId="77777777" w:rsidTr="003D67D0">
        <w:trPr>
          <w:trHeight w:val="460"/>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1DC8F0ED" w14:textId="77777777" w:rsidR="008224D5" w:rsidRPr="00001A04" w:rsidRDefault="008224D5" w:rsidP="00F66AD6">
            <w:pPr>
              <w:spacing w:after="0" w:line="240" w:lineRule="auto"/>
              <w:rPr>
                <w:rFonts w:ascii="Times New Roman" w:eastAsia="Times New Roman" w:hAnsi="Times New Roman" w:cs="Times New Roman"/>
                <w:b/>
                <w:color w:val="000000"/>
                <w:lang w:eastAsia="hr-HR"/>
              </w:rPr>
            </w:pPr>
          </w:p>
        </w:tc>
        <w:tc>
          <w:tcPr>
            <w:tcW w:w="1984" w:type="dxa"/>
            <w:tcBorders>
              <w:top w:val="nil"/>
              <w:left w:val="nil"/>
              <w:bottom w:val="single" w:sz="4" w:space="0" w:color="auto"/>
              <w:right w:val="single" w:sz="4" w:space="0" w:color="auto"/>
            </w:tcBorders>
            <w:shd w:val="clear" w:color="000000" w:fill="F2F2F2"/>
            <w:vAlign w:val="center"/>
            <w:hideMark/>
          </w:tcPr>
          <w:p w14:paraId="40CF85EB" w14:textId="004B33B5" w:rsidR="008224D5" w:rsidRPr="00001A04" w:rsidRDefault="008224D5" w:rsidP="008224D5">
            <w:pPr>
              <w:spacing w:after="0" w:line="240" w:lineRule="auto"/>
              <w:jc w:val="center"/>
              <w:rPr>
                <w:rFonts w:ascii="Times New Roman" w:eastAsia="Times New Roman" w:hAnsi="Times New Roman" w:cs="Times New Roman"/>
                <w:b/>
                <w:color w:val="000000"/>
                <w:lang w:eastAsia="hr-HR"/>
              </w:rPr>
            </w:pPr>
            <w:r w:rsidRPr="00001A04">
              <w:rPr>
                <w:rFonts w:ascii="Times New Roman" w:eastAsia="Times New Roman" w:hAnsi="Times New Roman" w:cs="Times New Roman"/>
                <w:b/>
                <w:color w:val="000000"/>
                <w:lang w:eastAsia="hr-HR"/>
              </w:rPr>
              <w:t xml:space="preserve">broj </w:t>
            </w:r>
            <w:r w:rsidR="00217103" w:rsidRPr="00001A04">
              <w:rPr>
                <w:rFonts w:ascii="Times New Roman" w:eastAsia="Times New Roman" w:hAnsi="Times New Roman" w:cs="Times New Roman"/>
                <w:b/>
                <w:color w:val="000000"/>
                <w:lang w:eastAsia="hr-HR"/>
              </w:rPr>
              <w:t>ciljanih nadzora</w:t>
            </w:r>
          </w:p>
        </w:tc>
        <w:tc>
          <w:tcPr>
            <w:tcW w:w="1985" w:type="dxa"/>
            <w:tcBorders>
              <w:top w:val="nil"/>
              <w:left w:val="nil"/>
              <w:bottom w:val="single" w:sz="4" w:space="0" w:color="auto"/>
              <w:right w:val="single" w:sz="4" w:space="0" w:color="auto"/>
            </w:tcBorders>
            <w:shd w:val="clear" w:color="000000" w:fill="F2F2F2"/>
            <w:vAlign w:val="center"/>
            <w:hideMark/>
          </w:tcPr>
          <w:p w14:paraId="74516FB2" w14:textId="1314A1B1" w:rsidR="008224D5" w:rsidRPr="00001A04" w:rsidRDefault="008224D5" w:rsidP="00217103">
            <w:pPr>
              <w:spacing w:after="0" w:line="240" w:lineRule="auto"/>
              <w:jc w:val="center"/>
              <w:rPr>
                <w:rFonts w:ascii="Times New Roman" w:eastAsia="Times New Roman" w:hAnsi="Times New Roman" w:cs="Times New Roman"/>
                <w:b/>
                <w:color w:val="000000"/>
                <w:lang w:eastAsia="hr-HR"/>
              </w:rPr>
            </w:pPr>
            <w:r w:rsidRPr="00001A04">
              <w:rPr>
                <w:rFonts w:ascii="Times New Roman" w:eastAsia="Times New Roman" w:hAnsi="Times New Roman" w:cs="Times New Roman"/>
                <w:b/>
                <w:color w:val="000000"/>
                <w:lang w:eastAsia="hr-HR"/>
              </w:rPr>
              <w:t xml:space="preserve">broj </w:t>
            </w:r>
            <w:r w:rsidR="00217103" w:rsidRPr="00001A04">
              <w:rPr>
                <w:rFonts w:ascii="Times New Roman" w:eastAsia="Times New Roman" w:hAnsi="Times New Roman" w:cs="Times New Roman"/>
                <w:b/>
                <w:color w:val="000000"/>
                <w:lang w:eastAsia="hr-HR"/>
              </w:rPr>
              <w:t>ciljanih nadzora</w:t>
            </w:r>
          </w:p>
        </w:tc>
      </w:tr>
      <w:tr w:rsidR="008224D5" w:rsidRPr="00001A04" w14:paraId="244D9E9B" w14:textId="77777777" w:rsidTr="003D67D0">
        <w:trPr>
          <w:trHeight w:val="460"/>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1D08FBBE" w14:textId="199E3156" w:rsidR="008224D5" w:rsidRPr="00001A04" w:rsidRDefault="00217103" w:rsidP="00217103">
            <w:pPr>
              <w:spacing w:after="0" w:line="240" w:lineRule="auto"/>
              <w:rPr>
                <w:rFonts w:ascii="Times New Roman" w:eastAsia="Times New Roman" w:hAnsi="Times New Roman" w:cs="Times New Roman"/>
                <w:color w:val="000000"/>
                <w:lang w:eastAsia="hr-HR"/>
              </w:rPr>
            </w:pPr>
            <w:r w:rsidRPr="00001A04">
              <w:rPr>
                <w:rFonts w:ascii="Times New Roman" w:eastAsia="Times New Roman" w:hAnsi="Times New Roman" w:cs="Times New Roman"/>
                <w:color w:val="000000"/>
                <w:lang w:eastAsia="hr-HR"/>
              </w:rPr>
              <w:t>društva za obavljanje računovodstvenih usluga</w:t>
            </w:r>
          </w:p>
        </w:tc>
        <w:tc>
          <w:tcPr>
            <w:tcW w:w="1984" w:type="dxa"/>
            <w:tcBorders>
              <w:top w:val="nil"/>
              <w:left w:val="nil"/>
              <w:bottom w:val="single" w:sz="4" w:space="0" w:color="auto"/>
              <w:right w:val="single" w:sz="4" w:space="0" w:color="auto"/>
            </w:tcBorders>
            <w:shd w:val="clear" w:color="auto" w:fill="auto"/>
            <w:noWrap/>
            <w:vAlign w:val="center"/>
          </w:tcPr>
          <w:p w14:paraId="7CAE7AF7" w14:textId="20D1456F" w:rsidR="008224D5" w:rsidRPr="00955187" w:rsidRDefault="00217103" w:rsidP="00F66AD6">
            <w:pPr>
              <w:spacing w:after="0" w:line="240" w:lineRule="auto"/>
              <w:jc w:val="center"/>
              <w:rPr>
                <w:rFonts w:ascii="Times New Roman" w:eastAsia="Times New Roman" w:hAnsi="Times New Roman" w:cs="Times New Roman"/>
                <w:color w:val="000000"/>
                <w:lang w:eastAsia="hr-HR"/>
              </w:rPr>
            </w:pPr>
            <w:r w:rsidRPr="00955187">
              <w:rPr>
                <w:rFonts w:ascii="Times New Roman" w:eastAsia="Times New Roman" w:hAnsi="Times New Roman" w:cs="Times New Roman"/>
                <w:color w:val="000000"/>
                <w:lang w:eastAsia="hr-HR"/>
              </w:rPr>
              <w:t>4</w:t>
            </w:r>
          </w:p>
        </w:tc>
        <w:tc>
          <w:tcPr>
            <w:tcW w:w="1985" w:type="dxa"/>
            <w:tcBorders>
              <w:top w:val="nil"/>
              <w:left w:val="nil"/>
              <w:bottom w:val="single" w:sz="4" w:space="0" w:color="auto"/>
              <w:right w:val="single" w:sz="4" w:space="0" w:color="auto"/>
            </w:tcBorders>
            <w:shd w:val="clear" w:color="auto" w:fill="auto"/>
            <w:noWrap/>
            <w:vAlign w:val="center"/>
          </w:tcPr>
          <w:p w14:paraId="4CB058DB" w14:textId="5BABA7C1" w:rsidR="008224D5" w:rsidRPr="00955187" w:rsidRDefault="00217103" w:rsidP="00F66AD6">
            <w:pPr>
              <w:spacing w:after="0" w:line="240" w:lineRule="auto"/>
              <w:jc w:val="center"/>
              <w:rPr>
                <w:rFonts w:ascii="Times New Roman" w:eastAsia="Times New Roman" w:hAnsi="Times New Roman" w:cs="Times New Roman"/>
                <w:color w:val="000000"/>
                <w:lang w:eastAsia="hr-HR"/>
              </w:rPr>
            </w:pPr>
            <w:r w:rsidRPr="00955187">
              <w:rPr>
                <w:rFonts w:ascii="Times New Roman" w:eastAsia="Times New Roman" w:hAnsi="Times New Roman" w:cs="Times New Roman"/>
                <w:color w:val="000000"/>
                <w:lang w:eastAsia="hr-HR"/>
              </w:rPr>
              <w:t>1</w:t>
            </w:r>
          </w:p>
        </w:tc>
      </w:tr>
      <w:tr w:rsidR="00217103" w:rsidRPr="00001A04" w14:paraId="79CD0F4B" w14:textId="77777777" w:rsidTr="003D67D0">
        <w:trPr>
          <w:trHeight w:val="460"/>
        </w:trPr>
        <w:tc>
          <w:tcPr>
            <w:tcW w:w="3119" w:type="dxa"/>
            <w:tcBorders>
              <w:top w:val="nil"/>
              <w:left w:val="single" w:sz="4" w:space="0" w:color="auto"/>
              <w:bottom w:val="single" w:sz="4" w:space="0" w:color="auto"/>
              <w:right w:val="single" w:sz="4" w:space="0" w:color="auto"/>
            </w:tcBorders>
            <w:shd w:val="clear" w:color="auto" w:fill="auto"/>
            <w:noWrap/>
            <w:vAlign w:val="center"/>
          </w:tcPr>
          <w:p w14:paraId="112B9C04" w14:textId="52F52DE0" w:rsidR="00217103" w:rsidRPr="00001A04" w:rsidRDefault="00217103" w:rsidP="00217103">
            <w:pPr>
              <w:spacing w:after="0" w:line="240" w:lineRule="auto"/>
              <w:rPr>
                <w:rFonts w:ascii="Times New Roman" w:eastAsia="Times New Roman" w:hAnsi="Times New Roman" w:cs="Times New Roman"/>
                <w:color w:val="000000"/>
                <w:lang w:eastAsia="hr-HR"/>
              </w:rPr>
            </w:pPr>
            <w:r w:rsidRPr="00001A04">
              <w:rPr>
                <w:rFonts w:ascii="Times New Roman" w:eastAsia="Times New Roman" w:hAnsi="Times New Roman" w:cs="Times New Roman"/>
                <w:color w:val="000000"/>
                <w:lang w:eastAsia="hr-HR"/>
              </w:rPr>
              <w:t>javni bilježnik</w:t>
            </w:r>
          </w:p>
        </w:tc>
        <w:tc>
          <w:tcPr>
            <w:tcW w:w="1984" w:type="dxa"/>
            <w:tcBorders>
              <w:top w:val="nil"/>
              <w:left w:val="nil"/>
              <w:bottom w:val="single" w:sz="4" w:space="0" w:color="auto"/>
              <w:right w:val="single" w:sz="4" w:space="0" w:color="auto"/>
            </w:tcBorders>
            <w:shd w:val="clear" w:color="auto" w:fill="auto"/>
            <w:noWrap/>
            <w:vAlign w:val="center"/>
          </w:tcPr>
          <w:p w14:paraId="510D06F1" w14:textId="77777777" w:rsidR="00217103" w:rsidRPr="00955187" w:rsidRDefault="00217103" w:rsidP="00F66AD6">
            <w:pPr>
              <w:spacing w:after="0" w:line="240" w:lineRule="auto"/>
              <w:jc w:val="center"/>
              <w:rPr>
                <w:rFonts w:ascii="Times New Roman" w:eastAsia="Times New Roman" w:hAnsi="Times New Roman" w:cs="Times New Roman"/>
                <w:color w:val="000000"/>
                <w:lang w:eastAsia="hr-HR"/>
              </w:rPr>
            </w:pPr>
          </w:p>
        </w:tc>
        <w:tc>
          <w:tcPr>
            <w:tcW w:w="1985" w:type="dxa"/>
            <w:tcBorders>
              <w:top w:val="nil"/>
              <w:left w:val="nil"/>
              <w:bottom w:val="single" w:sz="4" w:space="0" w:color="auto"/>
              <w:right w:val="single" w:sz="4" w:space="0" w:color="auto"/>
            </w:tcBorders>
            <w:shd w:val="clear" w:color="auto" w:fill="auto"/>
            <w:noWrap/>
            <w:vAlign w:val="center"/>
          </w:tcPr>
          <w:p w14:paraId="7BD01BF2" w14:textId="06C75C02" w:rsidR="00217103" w:rsidRPr="00955187" w:rsidRDefault="00217103" w:rsidP="00F66AD6">
            <w:pPr>
              <w:spacing w:after="0" w:line="240" w:lineRule="auto"/>
              <w:jc w:val="center"/>
              <w:rPr>
                <w:rFonts w:ascii="Times New Roman" w:eastAsia="Times New Roman" w:hAnsi="Times New Roman" w:cs="Times New Roman"/>
                <w:color w:val="000000"/>
                <w:lang w:eastAsia="hr-HR"/>
              </w:rPr>
            </w:pPr>
            <w:r w:rsidRPr="00955187">
              <w:rPr>
                <w:rFonts w:ascii="Times New Roman" w:eastAsia="Times New Roman" w:hAnsi="Times New Roman" w:cs="Times New Roman"/>
                <w:color w:val="000000"/>
                <w:lang w:eastAsia="hr-HR"/>
              </w:rPr>
              <w:t>1</w:t>
            </w:r>
          </w:p>
        </w:tc>
      </w:tr>
      <w:tr w:rsidR="008224D5" w:rsidRPr="00001A04" w14:paraId="07FEE75C" w14:textId="77777777" w:rsidTr="003D67D0">
        <w:trPr>
          <w:trHeight w:val="460"/>
        </w:trPr>
        <w:tc>
          <w:tcPr>
            <w:tcW w:w="3119" w:type="dxa"/>
            <w:tcBorders>
              <w:top w:val="nil"/>
              <w:left w:val="single" w:sz="4" w:space="0" w:color="auto"/>
              <w:bottom w:val="single" w:sz="4" w:space="0" w:color="auto"/>
              <w:right w:val="single" w:sz="4" w:space="0" w:color="auto"/>
            </w:tcBorders>
            <w:shd w:val="clear" w:color="000000" w:fill="F2F2F2"/>
            <w:noWrap/>
            <w:vAlign w:val="center"/>
            <w:hideMark/>
          </w:tcPr>
          <w:p w14:paraId="50CA5A01" w14:textId="77777777" w:rsidR="008224D5" w:rsidRPr="00001A04" w:rsidRDefault="008224D5" w:rsidP="00F66AD6">
            <w:pPr>
              <w:spacing w:after="0" w:line="240" w:lineRule="auto"/>
              <w:jc w:val="right"/>
              <w:rPr>
                <w:rFonts w:ascii="Times New Roman" w:eastAsia="Times New Roman" w:hAnsi="Times New Roman" w:cs="Times New Roman"/>
                <w:b/>
                <w:color w:val="000000"/>
                <w:lang w:eastAsia="hr-HR"/>
              </w:rPr>
            </w:pPr>
            <w:r w:rsidRPr="00001A04">
              <w:rPr>
                <w:rFonts w:ascii="Times New Roman" w:eastAsia="Times New Roman" w:hAnsi="Times New Roman" w:cs="Times New Roman"/>
                <w:b/>
                <w:color w:val="000000"/>
                <w:lang w:eastAsia="hr-HR"/>
              </w:rPr>
              <w:t>Ukupno:</w:t>
            </w:r>
          </w:p>
        </w:tc>
        <w:tc>
          <w:tcPr>
            <w:tcW w:w="1984" w:type="dxa"/>
            <w:tcBorders>
              <w:top w:val="nil"/>
              <w:left w:val="nil"/>
              <w:bottom w:val="single" w:sz="4" w:space="0" w:color="auto"/>
              <w:right w:val="single" w:sz="4" w:space="0" w:color="auto"/>
            </w:tcBorders>
            <w:shd w:val="clear" w:color="000000" w:fill="F2F2F2"/>
            <w:noWrap/>
            <w:vAlign w:val="center"/>
          </w:tcPr>
          <w:p w14:paraId="7DEBACF4" w14:textId="32D5FB79" w:rsidR="008224D5" w:rsidRPr="00001A04" w:rsidRDefault="00217103" w:rsidP="00F66AD6">
            <w:pPr>
              <w:spacing w:after="0" w:line="240" w:lineRule="auto"/>
              <w:jc w:val="center"/>
              <w:rPr>
                <w:rFonts w:ascii="Times New Roman" w:eastAsia="Times New Roman" w:hAnsi="Times New Roman" w:cs="Times New Roman"/>
                <w:b/>
                <w:color w:val="000000"/>
                <w:lang w:eastAsia="hr-HR"/>
              </w:rPr>
            </w:pPr>
            <w:r w:rsidRPr="00001A04">
              <w:rPr>
                <w:rFonts w:ascii="Times New Roman" w:eastAsia="Times New Roman" w:hAnsi="Times New Roman" w:cs="Times New Roman"/>
                <w:b/>
                <w:color w:val="000000"/>
                <w:lang w:eastAsia="hr-HR"/>
              </w:rPr>
              <w:t>4</w:t>
            </w:r>
          </w:p>
        </w:tc>
        <w:tc>
          <w:tcPr>
            <w:tcW w:w="1985" w:type="dxa"/>
            <w:tcBorders>
              <w:top w:val="nil"/>
              <w:left w:val="nil"/>
              <w:bottom w:val="single" w:sz="4" w:space="0" w:color="auto"/>
              <w:right w:val="single" w:sz="4" w:space="0" w:color="auto"/>
            </w:tcBorders>
            <w:shd w:val="clear" w:color="000000" w:fill="F2F2F2"/>
            <w:noWrap/>
            <w:vAlign w:val="center"/>
          </w:tcPr>
          <w:p w14:paraId="55570F9D" w14:textId="528E621A" w:rsidR="008224D5" w:rsidRPr="00001A04" w:rsidRDefault="008224D5" w:rsidP="00F66AD6">
            <w:pPr>
              <w:spacing w:after="0" w:line="240" w:lineRule="auto"/>
              <w:jc w:val="center"/>
              <w:rPr>
                <w:rFonts w:ascii="Times New Roman" w:eastAsia="Times New Roman" w:hAnsi="Times New Roman" w:cs="Times New Roman"/>
                <w:b/>
                <w:color w:val="000000"/>
                <w:lang w:eastAsia="hr-HR"/>
              </w:rPr>
            </w:pPr>
            <w:r w:rsidRPr="00001A04">
              <w:rPr>
                <w:rFonts w:ascii="Times New Roman" w:eastAsia="Times New Roman" w:hAnsi="Times New Roman" w:cs="Times New Roman"/>
                <w:b/>
                <w:color w:val="000000"/>
                <w:lang w:eastAsia="hr-HR"/>
              </w:rPr>
              <w:t>2</w:t>
            </w:r>
          </w:p>
        </w:tc>
      </w:tr>
    </w:tbl>
    <w:p w14:paraId="58FE686C" w14:textId="77777777" w:rsidR="008224D5" w:rsidRDefault="008224D5" w:rsidP="00001A04">
      <w:pPr>
        <w:spacing w:after="0" w:line="240" w:lineRule="auto"/>
        <w:jc w:val="both"/>
        <w:rPr>
          <w:rFonts w:ascii="Times New Roman" w:eastAsia="Calibri" w:hAnsi="Times New Roman" w:cs="Times New Roman"/>
          <w:iCs/>
          <w:sz w:val="24"/>
          <w:szCs w:val="24"/>
          <w:lang w:eastAsia="hr-HR"/>
        </w:rPr>
      </w:pPr>
    </w:p>
    <w:p w14:paraId="03437434" w14:textId="4A75389B" w:rsidR="008A655C" w:rsidRDefault="008A655C" w:rsidP="008A655C">
      <w:pPr>
        <w:spacing w:after="0" w:line="240" w:lineRule="auto"/>
        <w:contextualSpacing/>
        <w:jc w:val="both"/>
        <w:rPr>
          <w:rFonts w:ascii="Times New Roman" w:eastAsia="Calibri" w:hAnsi="Times New Roman" w:cs="Times New Roman"/>
          <w:b/>
          <w:sz w:val="24"/>
          <w:szCs w:val="24"/>
        </w:rPr>
      </w:pPr>
      <w:r w:rsidRPr="008A655C">
        <w:rPr>
          <w:rFonts w:ascii="Times New Roman" w:eastAsia="Calibri" w:hAnsi="Times New Roman" w:cs="Times New Roman"/>
          <w:b/>
          <w:sz w:val="24"/>
          <w:szCs w:val="24"/>
        </w:rPr>
        <w:t>Izdane smjernice vezane uz jedinstvenu primjenu Zakona i na temelju njega donesenih podzakonskih akata</w:t>
      </w:r>
    </w:p>
    <w:p w14:paraId="0E096003" w14:textId="77777777" w:rsidR="008224D5" w:rsidRPr="008A655C" w:rsidRDefault="008224D5" w:rsidP="008A655C">
      <w:pPr>
        <w:spacing w:after="0" w:line="240" w:lineRule="auto"/>
        <w:contextualSpacing/>
        <w:jc w:val="both"/>
        <w:rPr>
          <w:rFonts w:ascii="Times New Roman" w:eastAsia="Calibri" w:hAnsi="Times New Roman" w:cs="Times New Roman"/>
          <w:iCs/>
          <w:sz w:val="24"/>
          <w:szCs w:val="24"/>
          <w:u w:val="single"/>
          <w:lang w:eastAsia="hr-HR"/>
        </w:rPr>
      </w:pPr>
    </w:p>
    <w:p w14:paraId="64004BA6" w14:textId="6B01F3F7" w:rsidR="008A655C" w:rsidRDefault="008A655C" w:rsidP="008A655C">
      <w:pPr>
        <w:spacing w:after="0" w:line="240" w:lineRule="auto"/>
        <w:jc w:val="both"/>
        <w:rPr>
          <w:rFonts w:ascii="Times New Roman" w:eastAsia="Times New Roman" w:hAnsi="Times New Roman" w:cs="Times New Roman"/>
          <w:sz w:val="24"/>
          <w:szCs w:val="24"/>
          <w:lang w:eastAsia="hr-HR"/>
        </w:rPr>
      </w:pPr>
      <w:r w:rsidRPr="008A655C">
        <w:rPr>
          <w:rFonts w:ascii="Times New Roman" w:eastAsia="Times New Roman" w:hAnsi="Times New Roman" w:cs="Times New Roman"/>
          <w:sz w:val="24"/>
          <w:szCs w:val="24"/>
          <w:lang w:eastAsia="hr-HR"/>
        </w:rPr>
        <w:t>Tijekom 2022. Ured je izdao sedam smjernica obveznicima koje su se odnosile na primjenu odredbe članka 46., 46. a., 59., 57. i 61. Zakona (politički izložene osobe, obavještavanje Ureda o sumnjivim i gotovinskim transakcijama), obveze dostavljanja podataka u Jedinstveni registar računa o fizičkim osobama ovlaštenim za raspolaganje novčanim sredstvima, te obveze postupanja s gotovinskom transakcijom prilikom uvođenja eura kao službene valute u Republici Hrvatskoj. Navedene smjernice predstavljaju pisane odgovore na upite pojedinog obveznika koji se odnose na otvorena pitanja ili nejasnoće oko tumačenja pojedine odredbe Zakona. Smjernice/mišljenja koje su dostavljeni obveznicima nemaju obvezujući karakter već su u funkciji pomoći obveznicima u primjeni Zakona te nemaju učinak provedbenog propisa. Radi jedinstvene primjene Zakona te provođenja zajedničkih politika, a u skladu sa odredbama članka 88. stavka 4. Zakona, Ured je prilikom donošenja smjernica koje izdaje nadležno nadzorno tijelo sudjelovao u procesu donošenja smjernica, davanjem prijedloga i mišljenja na predloženi tekst smjernice. Pored pisanih smjernica/mišljenja, Ured osigurava svakodnevnu telefonsku komunikaciju s obveznicima u pogledu tumačenja i davanja uputa radi provođenja pojedinih odredaba Zakona.</w:t>
      </w:r>
      <w:r w:rsidR="00EE4DD5">
        <w:rPr>
          <w:rFonts w:ascii="Times New Roman" w:eastAsia="Times New Roman" w:hAnsi="Times New Roman" w:cs="Times New Roman"/>
          <w:sz w:val="24"/>
          <w:szCs w:val="24"/>
          <w:lang w:eastAsia="hr-HR"/>
        </w:rPr>
        <w:t xml:space="preserve"> </w:t>
      </w:r>
    </w:p>
    <w:p w14:paraId="44F93428" w14:textId="7258CAAD" w:rsidR="00EE4DD5" w:rsidRDefault="00EE4DD5" w:rsidP="008A655C">
      <w:pPr>
        <w:spacing w:after="0" w:line="240" w:lineRule="auto"/>
        <w:jc w:val="both"/>
        <w:rPr>
          <w:rFonts w:ascii="Times New Roman" w:eastAsia="Times New Roman" w:hAnsi="Times New Roman" w:cs="Times New Roman"/>
          <w:sz w:val="24"/>
          <w:szCs w:val="24"/>
          <w:lang w:eastAsia="hr-HR"/>
        </w:rPr>
      </w:pPr>
    </w:p>
    <w:p w14:paraId="464F8053" w14:textId="59FF26B1" w:rsidR="008A655C" w:rsidRDefault="008A655C" w:rsidP="008A655C">
      <w:pPr>
        <w:spacing w:after="0" w:line="240" w:lineRule="auto"/>
        <w:jc w:val="both"/>
        <w:rPr>
          <w:rFonts w:ascii="Times New Roman" w:eastAsia="Times New Roman" w:hAnsi="Times New Roman" w:cs="Times New Roman"/>
          <w:b/>
          <w:sz w:val="24"/>
          <w:szCs w:val="24"/>
          <w:lang w:eastAsia="hr-HR"/>
        </w:rPr>
      </w:pPr>
      <w:r w:rsidRPr="008A655C">
        <w:rPr>
          <w:rFonts w:ascii="Times New Roman" w:eastAsia="Times New Roman" w:hAnsi="Times New Roman" w:cs="Times New Roman"/>
          <w:b/>
          <w:sz w:val="24"/>
          <w:szCs w:val="24"/>
          <w:lang w:eastAsia="hr-HR"/>
        </w:rPr>
        <w:t xml:space="preserve">Suradnja i razmjena informacija sa nadležnim nadzornim tijelima te bonitetnim nadzornim tijelima </w:t>
      </w:r>
    </w:p>
    <w:p w14:paraId="2C7C419F" w14:textId="3E9DF6CB" w:rsidR="00867204" w:rsidRDefault="00867204" w:rsidP="008A655C">
      <w:pPr>
        <w:spacing w:after="0" w:line="240" w:lineRule="auto"/>
        <w:jc w:val="both"/>
        <w:rPr>
          <w:rFonts w:ascii="Times New Roman" w:eastAsia="Times New Roman" w:hAnsi="Times New Roman" w:cs="Times New Roman"/>
          <w:b/>
          <w:sz w:val="24"/>
          <w:szCs w:val="24"/>
          <w:lang w:eastAsia="hr-HR"/>
        </w:rPr>
      </w:pPr>
    </w:p>
    <w:p w14:paraId="18077F43" w14:textId="1C99DA60" w:rsidR="008A655C" w:rsidRDefault="008A655C" w:rsidP="008A655C">
      <w:pPr>
        <w:spacing w:after="0" w:line="240" w:lineRule="auto"/>
        <w:jc w:val="both"/>
        <w:rPr>
          <w:rFonts w:ascii="Times New Roman" w:eastAsia="Times New Roman" w:hAnsi="Times New Roman" w:cs="Times New Roman"/>
          <w:sz w:val="24"/>
          <w:szCs w:val="24"/>
          <w:lang w:eastAsia="hr-HR"/>
        </w:rPr>
      </w:pPr>
      <w:r w:rsidRPr="008A655C">
        <w:rPr>
          <w:rFonts w:ascii="Times New Roman" w:eastAsia="Times New Roman" w:hAnsi="Times New Roman" w:cs="Times New Roman"/>
          <w:sz w:val="24"/>
          <w:szCs w:val="24"/>
          <w:lang w:eastAsia="hr-HR"/>
        </w:rPr>
        <w:t>U svrhu  prekograničnog pružanja platnih usluga (notifikacija), Ured je tijekom 2022. zaprimio sedam zahtjeva od Hrvatske narodne banke za dostavom informacija i podataka. Po navedenom zahtjevu, Ured je u skladu sa svojim zakonskim ovlastima dostavio informacije i podatke za tražene fizičke i pravne osobe koje informacije i podatke HNB korist prilikom procjenjivanja rizik od pranja novca i financiranja terorizma u postupcima prekogra</w:t>
      </w:r>
      <w:r w:rsidR="003D67D0">
        <w:rPr>
          <w:rFonts w:ascii="Times New Roman" w:eastAsia="Times New Roman" w:hAnsi="Times New Roman" w:cs="Times New Roman"/>
          <w:sz w:val="24"/>
          <w:szCs w:val="24"/>
          <w:lang w:eastAsia="hr-HR"/>
        </w:rPr>
        <w:t>ničnog pruža platnih usluga. U Tablici 2</w:t>
      </w:r>
      <w:r w:rsidR="00E205F1">
        <w:rPr>
          <w:rFonts w:ascii="Times New Roman" w:eastAsia="Times New Roman" w:hAnsi="Times New Roman" w:cs="Times New Roman"/>
          <w:sz w:val="24"/>
          <w:szCs w:val="24"/>
          <w:lang w:eastAsia="hr-HR"/>
        </w:rPr>
        <w:t>4</w:t>
      </w:r>
      <w:r w:rsidR="003D67D0">
        <w:rPr>
          <w:rFonts w:ascii="Times New Roman" w:eastAsia="Times New Roman" w:hAnsi="Times New Roman" w:cs="Times New Roman"/>
          <w:sz w:val="24"/>
          <w:szCs w:val="24"/>
          <w:lang w:eastAsia="hr-HR"/>
        </w:rPr>
        <w:t xml:space="preserve"> nalaze se podatci o razmjeni podataka Ureda sa nadzornim tijelima.</w:t>
      </w:r>
    </w:p>
    <w:p w14:paraId="34A6DD95" w14:textId="654D9FEB" w:rsidR="00EE4DD5" w:rsidRDefault="00EE4DD5" w:rsidP="008A655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Tablica </w:t>
      </w:r>
      <w:r w:rsidR="003D67D0">
        <w:rPr>
          <w:rFonts w:ascii="Times New Roman" w:eastAsia="Times New Roman" w:hAnsi="Times New Roman" w:cs="Times New Roman"/>
          <w:sz w:val="24"/>
          <w:szCs w:val="24"/>
          <w:lang w:eastAsia="hr-HR"/>
        </w:rPr>
        <w:t>2</w:t>
      </w:r>
      <w:r w:rsidR="00E205F1">
        <w:rPr>
          <w:rFonts w:ascii="Times New Roman" w:eastAsia="Times New Roman" w:hAnsi="Times New Roman" w:cs="Times New Roman"/>
          <w:sz w:val="24"/>
          <w:szCs w:val="24"/>
          <w:lang w:eastAsia="hr-HR"/>
        </w:rPr>
        <w:t>4</w:t>
      </w:r>
    </w:p>
    <w:tbl>
      <w:tblPr>
        <w:tblW w:w="9072" w:type="dxa"/>
        <w:tblInd w:w="-5" w:type="dxa"/>
        <w:tblLook w:val="04A0" w:firstRow="1" w:lastRow="0" w:firstColumn="1" w:lastColumn="0" w:noHBand="0" w:noVBand="1"/>
      </w:tblPr>
      <w:tblGrid>
        <w:gridCol w:w="1940"/>
        <w:gridCol w:w="3589"/>
        <w:gridCol w:w="1778"/>
        <w:gridCol w:w="1765"/>
      </w:tblGrid>
      <w:tr w:rsidR="00705455" w:rsidRPr="00375117" w14:paraId="55FB22C5" w14:textId="77777777" w:rsidTr="003D67D0">
        <w:trPr>
          <w:trHeight w:val="460"/>
        </w:trPr>
        <w:tc>
          <w:tcPr>
            <w:tcW w:w="1940" w:type="dxa"/>
            <w:vMerge w:val="restart"/>
            <w:tcBorders>
              <w:top w:val="single" w:sz="4" w:space="0" w:color="auto"/>
              <w:left w:val="single" w:sz="4" w:space="0" w:color="auto"/>
              <w:right w:val="single" w:sz="4" w:space="0" w:color="auto"/>
            </w:tcBorders>
            <w:shd w:val="clear" w:color="000000" w:fill="F2F2F2"/>
            <w:vAlign w:val="center"/>
          </w:tcPr>
          <w:p w14:paraId="5BBAB01B" w14:textId="18A2269C" w:rsidR="00705455" w:rsidRPr="003D67D0" w:rsidRDefault="00705455" w:rsidP="00F66AD6">
            <w:pPr>
              <w:spacing w:after="0" w:line="240" w:lineRule="auto"/>
              <w:jc w:val="center"/>
              <w:rPr>
                <w:rFonts w:ascii="Times New Roman" w:eastAsia="Times New Roman" w:hAnsi="Times New Roman" w:cs="Times New Roman"/>
                <w:b/>
                <w:color w:val="000000"/>
                <w:lang w:eastAsia="hr-HR"/>
              </w:rPr>
            </w:pPr>
            <w:r w:rsidRPr="003D67D0">
              <w:rPr>
                <w:rFonts w:ascii="Times New Roman" w:eastAsia="Times New Roman" w:hAnsi="Times New Roman" w:cs="Times New Roman"/>
                <w:b/>
                <w:color w:val="000000"/>
                <w:lang w:eastAsia="hr-HR"/>
              </w:rPr>
              <w:t>Zaprimljeni zahtjevi</w:t>
            </w:r>
          </w:p>
        </w:tc>
        <w:tc>
          <w:tcPr>
            <w:tcW w:w="358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2DDC25C" w14:textId="0ED0FBF1" w:rsidR="00705455" w:rsidRPr="003D67D0" w:rsidRDefault="00705455" w:rsidP="00705455">
            <w:pPr>
              <w:spacing w:after="0" w:line="240" w:lineRule="auto"/>
              <w:jc w:val="center"/>
              <w:rPr>
                <w:rFonts w:ascii="Times New Roman" w:eastAsia="Times New Roman" w:hAnsi="Times New Roman" w:cs="Times New Roman"/>
                <w:b/>
                <w:color w:val="000000"/>
                <w:lang w:eastAsia="hr-HR"/>
              </w:rPr>
            </w:pPr>
            <w:r w:rsidRPr="003D67D0">
              <w:rPr>
                <w:rFonts w:ascii="Times New Roman" w:eastAsia="Times New Roman" w:hAnsi="Times New Roman" w:cs="Times New Roman"/>
                <w:b/>
                <w:color w:val="000000"/>
                <w:lang w:eastAsia="hr-HR"/>
              </w:rPr>
              <w:t>Svrha zahtjeva</w:t>
            </w:r>
          </w:p>
        </w:tc>
        <w:tc>
          <w:tcPr>
            <w:tcW w:w="1778" w:type="dxa"/>
            <w:tcBorders>
              <w:top w:val="single" w:sz="4" w:space="0" w:color="auto"/>
              <w:left w:val="nil"/>
              <w:bottom w:val="single" w:sz="4" w:space="0" w:color="auto"/>
              <w:right w:val="single" w:sz="4" w:space="0" w:color="auto"/>
            </w:tcBorders>
            <w:shd w:val="clear" w:color="000000" w:fill="F2F2F2"/>
            <w:noWrap/>
            <w:vAlign w:val="center"/>
            <w:hideMark/>
          </w:tcPr>
          <w:p w14:paraId="70763AA1" w14:textId="77777777" w:rsidR="00705455" w:rsidRPr="003D67D0" w:rsidRDefault="00705455" w:rsidP="00F66AD6">
            <w:pPr>
              <w:spacing w:after="0" w:line="240" w:lineRule="auto"/>
              <w:jc w:val="center"/>
              <w:rPr>
                <w:rFonts w:ascii="Times New Roman" w:eastAsia="Times New Roman" w:hAnsi="Times New Roman" w:cs="Times New Roman"/>
                <w:b/>
                <w:color w:val="000000"/>
                <w:lang w:eastAsia="hr-HR"/>
              </w:rPr>
            </w:pPr>
            <w:r w:rsidRPr="003D67D0">
              <w:rPr>
                <w:rFonts w:ascii="Times New Roman" w:eastAsia="Times New Roman" w:hAnsi="Times New Roman" w:cs="Times New Roman"/>
                <w:b/>
                <w:color w:val="000000"/>
                <w:lang w:eastAsia="hr-HR"/>
              </w:rPr>
              <w:t>2021.</w:t>
            </w:r>
          </w:p>
        </w:tc>
        <w:tc>
          <w:tcPr>
            <w:tcW w:w="1765" w:type="dxa"/>
            <w:tcBorders>
              <w:top w:val="single" w:sz="4" w:space="0" w:color="auto"/>
              <w:left w:val="nil"/>
              <w:bottom w:val="single" w:sz="4" w:space="0" w:color="auto"/>
              <w:right w:val="single" w:sz="4" w:space="0" w:color="auto"/>
            </w:tcBorders>
            <w:shd w:val="clear" w:color="000000" w:fill="F2F2F2"/>
            <w:vAlign w:val="center"/>
          </w:tcPr>
          <w:p w14:paraId="02B43252" w14:textId="77777777" w:rsidR="00705455" w:rsidRPr="003D67D0" w:rsidRDefault="00705455" w:rsidP="00F66AD6">
            <w:pPr>
              <w:spacing w:after="0" w:line="240" w:lineRule="auto"/>
              <w:jc w:val="center"/>
              <w:rPr>
                <w:rFonts w:ascii="Times New Roman" w:eastAsia="Times New Roman" w:hAnsi="Times New Roman" w:cs="Times New Roman"/>
                <w:b/>
                <w:color w:val="000000"/>
                <w:lang w:eastAsia="hr-HR"/>
              </w:rPr>
            </w:pPr>
            <w:r w:rsidRPr="003D67D0">
              <w:rPr>
                <w:rFonts w:ascii="Times New Roman" w:eastAsia="Times New Roman" w:hAnsi="Times New Roman" w:cs="Times New Roman"/>
                <w:b/>
                <w:color w:val="000000"/>
                <w:lang w:eastAsia="hr-HR"/>
              </w:rPr>
              <w:t>2022.</w:t>
            </w:r>
          </w:p>
        </w:tc>
      </w:tr>
      <w:tr w:rsidR="00705455" w:rsidRPr="00375117" w14:paraId="7A6A3B81" w14:textId="77777777" w:rsidTr="003D67D0">
        <w:trPr>
          <w:trHeight w:val="460"/>
        </w:trPr>
        <w:tc>
          <w:tcPr>
            <w:tcW w:w="1940" w:type="dxa"/>
            <w:vMerge/>
            <w:tcBorders>
              <w:left w:val="single" w:sz="4" w:space="0" w:color="auto"/>
              <w:bottom w:val="single" w:sz="4" w:space="0" w:color="auto"/>
              <w:right w:val="single" w:sz="4" w:space="0" w:color="auto"/>
            </w:tcBorders>
          </w:tcPr>
          <w:p w14:paraId="1FCD44CF" w14:textId="77777777" w:rsidR="00705455" w:rsidRPr="003D67D0" w:rsidRDefault="00705455" w:rsidP="00F66AD6">
            <w:pPr>
              <w:spacing w:after="0" w:line="240" w:lineRule="auto"/>
              <w:rPr>
                <w:rFonts w:ascii="Times New Roman" w:eastAsia="Times New Roman" w:hAnsi="Times New Roman" w:cs="Times New Roman"/>
                <w:b/>
                <w:color w:val="000000"/>
                <w:lang w:eastAsia="hr-HR"/>
              </w:rPr>
            </w:pPr>
          </w:p>
        </w:tc>
        <w:tc>
          <w:tcPr>
            <w:tcW w:w="3589" w:type="dxa"/>
            <w:vMerge/>
            <w:tcBorders>
              <w:top w:val="single" w:sz="4" w:space="0" w:color="auto"/>
              <w:left w:val="single" w:sz="4" w:space="0" w:color="auto"/>
              <w:bottom w:val="single" w:sz="4" w:space="0" w:color="auto"/>
              <w:right w:val="single" w:sz="4" w:space="0" w:color="auto"/>
            </w:tcBorders>
            <w:vAlign w:val="center"/>
            <w:hideMark/>
          </w:tcPr>
          <w:p w14:paraId="1E71B524" w14:textId="2402F066" w:rsidR="00705455" w:rsidRPr="003D67D0" w:rsidRDefault="00705455" w:rsidP="00F66AD6">
            <w:pPr>
              <w:spacing w:after="0" w:line="240" w:lineRule="auto"/>
              <w:rPr>
                <w:rFonts w:ascii="Times New Roman" w:eastAsia="Times New Roman" w:hAnsi="Times New Roman" w:cs="Times New Roman"/>
                <w:b/>
                <w:color w:val="000000"/>
                <w:lang w:eastAsia="hr-HR"/>
              </w:rPr>
            </w:pPr>
          </w:p>
        </w:tc>
        <w:tc>
          <w:tcPr>
            <w:tcW w:w="1778" w:type="dxa"/>
            <w:tcBorders>
              <w:top w:val="nil"/>
              <w:left w:val="nil"/>
              <w:bottom w:val="single" w:sz="4" w:space="0" w:color="auto"/>
              <w:right w:val="single" w:sz="4" w:space="0" w:color="auto"/>
            </w:tcBorders>
            <w:shd w:val="clear" w:color="000000" w:fill="F2F2F2"/>
            <w:vAlign w:val="center"/>
            <w:hideMark/>
          </w:tcPr>
          <w:p w14:paraId="0B3EDAD5" w14:textId="1822F247" w:rsidR="00705455" w:rsidRPr="003D67D0" w:rsidRDefault="00705455" w:rsidP="00705455">
            <w:pPr>
              <w:spacing w:after="0" w:line="240" w:lineRule="auto"/>
              <w:jc w:val="center"/>
              <w:rPr>
                <w:rFonts w:ascii="Times New Roman" w:eastAsia="Times New Roman" w:hAnsi="Times New Roman" w:cs="Times New Roman"/>
                <w:b/>
                <w:color w:val="000000"/>
                <w:lang w:eastAsia="hr-HR"/>
              </w:rPr>
            </w:pPr>
            <w:r w:rsidRPr="003D67D0">
              <w:rPr>
                <w:rFonts w:ascii="Times New Roman" w:eastAsia="Times New Roman" w:hAnsi="Times New Roman" w:cs="Times New Roman"/>
                <w:b/>
                <w:color w:val="000000"/>
                <w:lang w:eastAsia="hr-HR"/>
              </w:rPr>
              <w:t>broj zahtjeva</w:t>
            </w:r>
          </w:p>
        </w:tc>
        <w:tc>
          <w:tcPr>
            <w:tcW w:w="1765" w:type="dxa"/>
            <w:tcBorders>
              <w:top w:val="nil"/>
              <w:left w:val="nil"/>
              <w:bottom w:val="single" w:sz="4" w:space="0" w:color="auto"/>
              <w:right w:val="single" w:sz="4" w:space="0" w:color="auto"/>
            </w:tcBorders>
            <w:shd w:val="clear" w:color="000000" w:fill="F2F2F2"/>
            <w:vAlign w:val="center"/>
            <w:hideMark/>
          </w:tcPr>
          <w:p w14:paraId="055DCC10" w14:textId="0099136F" w:rsidR="00705455" w:rsidRPr="003D67D0" w:rsidRDefault="00705455" w:rsidP="00705455">
            <w:pPr>
              <w:spacing w:after="0" w:line="240" w:lineRule="auto"/>
              <w:jc w:val="center"/>
              <w:rPr>
                <w:rFonts w:ascii="Times New Roman" w:eastAsia="Times New Roman" w:hAnsi="Times New Roman" w:cs="Times New Roman"/>
                <w:b/>
                <w:color w:val="000000"/>
                <w:lang w:eastAsia="hr-HR"/>
              </w:rPr>
            </w:pPr>
            <w:r w:rsidRPr="003D67D0">
              <w:rPr>
                <w:rFonts w:ascii="Times New Roman" w:eastAsia="Times New Roman" w:hAnsi="Times New Roman" w:cs="Times New Roman"/>
                <w:b/>
                <w:color w:val="000000"/>
                <w:lang w:eastAsia="hr-HR"/>
              </w:rPr>
              <w:t>broj zahtjeva</w:t>
            </w:r>
          </w:p>
        </w:tc>
      </w:tr>
      <w:tr w:rsidR="00705455" w:rsidRPr="00375117" w14:paraId="1F26D3A2" w14:textId="77777777" w:rsidTr="003D67D0">
        <w:trPr>
          <w:trHeight w:val="460"/>
        </w:trPr>
        <w:tc>
          <w:tcPr>
            <w:tcW w:w="1940" w:type="dxa"/>
            <w:tcBorders>
              <w:top w:val="nil"/>
              <w:left w:val="single" w:sz="4" w:space="0" w:color="auto"/>
              <w:bottom w:val="single" w:sz="4" w:space="0" w:color="auto"/>
              <w:right w:val="single" w:sz="4" w:space="0" w:color="auto"/>
            </w:tcBorders>
            <w:vAlign w:val="center"/>
          </w:tcPr>
          <w:p w14:paraId="3A62F03B" w14:textId="325EEB86" w:rsidR="00705455" w:rsidRPr="003D67D0" w:rsidRDefault="00705455" w:rsidP="00F66AD6">
            <w:pPr>
              <w:spacing w:after="0" w:line="240" w:lineRule="auto"/>
              <w:rPr>
                <w:rFonts w:ascii="Times New Roman" w:eastAsia="Times New Roman" w:hAnsi="Times New Roman" w:cs="Times New Roman"/>
                <w:color w:val="000000"/>
                <w:lang w:eastAsia="hr-HR"/>
              </w:rPr>
            </w:pPr>
            <w:r w:rsidRPr="003D67D0">
              <w:rPr>
                <w:rFonts w:ascii="Times New Roman" w:eastAsia="Times New Roman" w:hAnsi="Times New Roman" w:cs="Times New Roman"/>
                <w:color w:val="000000"/>
                <w:lang w:eastAsia="hr-HR"/>
              </w:rPr>
              <w:t>HNB</w:t>
            </w:r>
          </w:p>
        </w:tc>
        <w:tc>
          <w:tcPr>
            <w:tcW w:w="3589" w:type="dxa"/>
            <w:tcBorders>
              <w:top w:val="nil"/>
              <w:left w:val="single" w:sz="4" w:space="0" w:color="auto"/>
              <w:bottom w:val="single" w:sz="4" w:space="0" w:color="auto"/>
              <w:right w:val="single" w:sz="4" w:space="0" w:color="auto"/>
            </w:tcBorders>
            <w:shd w:val="clear" w:color="auto" w:fill="auto"/>
            <w:vAlign w:val="center"/>
          </w:tcPr>
          <w:p w14:paraId="5879BED2" w14:textId="541FB2F0" w:rsidR="00705455" w:rsidRPr="003D67D0" w:rsidRDefault="00705455" w:rsidP="00F66AD6">
            <w:pPr>
              <w:spacing w:after="0" w:line="240" w:lineRule="auto"/>
              <w:rPr>
                <w:rFonts w:ascii="Times New Roman" w:eastAsia="Times New Roman" w:hAnsi="Times New Roman" w:cs="Times New Roman"/>
                <w:color w:val="000000"/>
                <w:lang w:eastAsia="hr-HR"/>
              </w:rPr>
            </w:pPr>
            <w:r w:rsidRPr="003D67D0">
              <w:rPr>
                <w:rFonts w:ascii="Times New Roman" w:eastAsia="Times New Roman" w:hAnsi="Times New Roman" w:cs="Times New Roman"/>
                <w:color w:val="000000"/>
                <w:lang w:eastAsia="hr-HR"/>
              </w:rPr>
              <w:t>sloboda pružanja usluga/notifikacija</w:t>
            </w:r>
          </w:p>
        </w:tc>
        <w:tc>
          <w:tcPr>
            <w:tcW w:w="1778" w:type="dxa"/>
            <w:tcBorders>
              <w:top w:val="nil"/>
              <w:left w:val="nil"/>
              <w:bottom w:val="single" w:sz="4" w:space="0" w:color="auto"/>
              <w:right w:val="single" w:sz="4" w:space="0" w:color="auto"/>
            </w:tcBorders>
            <w:shd w:val="clear" w:color="auto" w:fill="auto"/>
            <w:noWrap/>
            <w:vAlign w:val="center"/>
          </w:tcPr>
          <w:p w14:paraId="519A5AFA" w14:textId="41052626" w:rsidR="00705455" w:rsidRPr="003D67D0" w:rsidRDefault="00705455" w:rsidP="00F66AD6">
            <w:pPr>
              <w:spacing w:after="0" w:line="240" w:lineRule="auto"/>
              <w:jc w:val="center"/>
              <w:rPr>
                <w:rFonts w:ascii="Times New Roman" w:eastAsia="Times New Roman" w:hAnsi="Times New Roman" w:cs="Times New Roman"/>
                <w:color w:val="000000"/>
                <w:lang w:eastAsia="hr-HR"/>
              </w:rPr>
            </w:pPr>
            <w:r w:rsidRPr="003D67D0">
              <w:rPr>
                <w:rFonts w:ascii="Times New Roman" w:eastAsia="Times New Roman" w:hAnsi="Times New Roman" w:cs="Times New Roman"/>
                <w:color w:val="000000"/>
                <w:lang w:eastAsia="hr-HR"/>
              </w:rPr>
              <w:t>7</w:t>
            </w:r>
          </w:p>
        </w:tc>
        <w:tc>
          <w:tcPr>
            <w:tcW w:w="1765" w:type="dxa"/>
            <w:tcBorders>
              <w:top w:val="nil"/>
              <w:left w:val="nil"/>
              <w:bottom w:val="single" w:sz="4" w:space="0" w:color="auto"/>
              <w:right w:val="single" w:sz="4" w:space="0" w:color="auto"/>
            </w:tcBorders>
            <w:shd w:val="clear" w:color="auto" w:fill="auto"/>
            <w:noWrap/>
            <w:vAlign w:val="center"/>
          </w:tcPr>
          <w:p w14:paraId="29A0F6BF" w14:textId="09130A42" w:rsidR="00705455" w:rsidRPr="003D67D0" w:rsidRDefault="00705455" w:rsidP="00F66AD6">
            <w:pPr>
              <w:spacing w:after="0" w:line="240" w:lineRule="auto"/>
              <w:jc w:val="center"/>
              <w:rPr>
                <w:rFonts w:ascii="Times New Roman" w:eastAsia="Times New Roman" w:hAnsi="Times New Roman" w:cs="Times New Roman"/>
                <w:color w:val="000000"/>
                <w:lang w:eastAsia="hr-HR"/>
              </w:rPr>
            </w:pPr>
            <w:r w:rsidRPr="003D67D0">
              <w:rPr>
                <w:rFonts w:ascii="Times New Roman" w:eastAsia="Times New Roman" w:hAnsi="Times New Roman" w:cs="Times New Roman"/>
                <w:color w:val="000000"/>
                <w:lang w:eastAsia="hr-HR"/>
              </w:rPr>
              <w:t>7</w:t>
            </w:r>
          </w:p>
        </w:tc>
      </w:tr>
      <w:tr w:rsidR="00705455" w:rsidRPr="00375117" w14:paraId="65B9F956" w14:textId="77777777" w:rsidTr="003D67D0">
        <w:trPr>
          <w:trHeight w:val="460"/>
        </w:trPr>
        <w:tc>
          <w:tcPr>
            <w:tcW w:w="1940" w:type="dxa"/>
            <w:tcBorders>
              <w:top w:val="nil"/>
              <w:left w:val="single" w:sz="4" w:space="0" w:color="auto"/>
              <w:bottom w:val="single" w:sz="4" w:space="0" w:color="auto"/>
              <w:right w:val="single" w:sz="4" w:space="0" w:color="auto"/>
            </w:tcBorders>
            <w:vAlign w:val="center"/>
          </w:tcPr>
          <w:p w14:paraId="1C50F549" w14:textId="3EE9887E" w:rsidR="00705455" w:rsidRPr="003D67D0" w:rsidRDefault="00705455" w:rsidP="00F66AD6">
            <w:pPr>
              <w:spacing w:after="0" w:line="240" w:lineRule="auto"/>
              <w:rPr>
                <w:rFonts w:ascii="Times New Roman" w:eastAsia="Times New Roman" w:hAnsi="Times New Roman" w:cs="Times New Roman"/>
                <w:color w:val="000000"/>
                <w:lang w:eastAsia="hr-HR"/>
              </w:rPr>
            </w:pPr>
            <w:r w:rsidRPr="003D67D0">
              <w:rPr>
                <w:rFonts w:ascii="Times New Roman" w:eastAsia="Times New Roman" w:hAnsi="Times New Roman" w:cs="Times New Roman"/>
                <w:color w:val="000000"/>
                <w:lang w:eastAsia="hr-HR"/>
              </w:rPr>
              <w:t>HANFA</w:t>
            </w:r>
          </w:p>
        </w:tc>
        <w:tc>
          <w:tcPr>
            <w:tcW w:w="3589" w:type="dxa"/>
            <w:tcBorders>
              <w:top w:val="nil"/>
              <w:left w:val="single" w:sz="4" w:space="0" w:color="auto"/>
              <w:bottom w:val="single" w:sz="4" w:space="0" w:color="auto"/>
              <w:right w:val="single" w:sz="4" w:space="0" w:color="auto"/>
            </w:tcBorders>
            <w:shd w:val="clear" w:color="auto" w:fill="auto"/>
            <w:vAlign w:val="center"/>
          </w:tcPr>
          <w:p w14:paraId="2F91A3F3" w14:textId="4CB8F8E9" w:rsidR="00705455" w:rsidRPr="003D67D0" w:rsidRDefault="00705455" w:rsidP="00F66AD6">
            <w:pPr>
              <w:spacing w:after="0" w:line="240" w:lineRule="auto"/>
              <w:rPr>
                <w:rFonts w:ascii="Times New Roman" w:eastAsia="Times New Roman" w:hAnsi="Times New Roman" w:cs="Times New Roman"/>
                <w:color w:val="000000"/>
                <w:lang w:eastAsia="hr-HR"/>
              </w:rPr>
            </w:pPr>
            <w:r w:rsidRPr="003D67D0">
              <w:rPr>
                <w:rFonts w:ascii="Times New Roman" w:eastAsia="Times New Roman" w:hAnsi="Times New Roman" w:cs="Times New Roman"/>
                <w:color w:val="000000"/>
                <w:lang w:eastAsia="hr-HR"/>
              </w:rPr>
              <w:t>procjena primjerenosti</w:t>
            </w:r>
          </w:p>
        </w:tc>
        <w:tc>
          <w:tcPr>
            <w:tcW w:w="1778" w:type="dxa"/>
            <w:tcBorders>
              <w:top w:val="nil"/>
              <w:left w:val="nil"/>
              <w:bottom w:val="single" w:sz="4" w:space="0" w:color="auto"/>
              <w:right w:val="single" w:sz="4" w:space="0" w:color="auto"/>
            </w:tcBorders>
            <w:shd w:val="clear" w:color="auto" w:fill="auto"/>
            <w:noWrap/>
            <w:vAlign w:val="center"/>
          </w:tcPr>
          <w:p w14:paraId="014B80AA" w14:textId="7907F03C" w:rsidR="00705455" w:rsidRPr="003D67D0" w:rsidRDefault="00705455" w:rsidP="00F66AD6">
            <w:pPr>
              <w:spacing w:after="0" w:line="240" w:lineRule="auto"/>
              <w:jc w:val="center"/>
              <w:rPr>
                <w:rFonts w:ascii="Times New Roman" w:eastAsia="Times New Roman" w:hAnsi="Times New Roman" w:cs="Times New Roman"/>
                <w:color w:val="000000"/>
                <w:lang w:eastAsia="hr-HR"/>
              </w:rPr>
            </w:pPr>
            <w:r w:rsidRPr="003D67D0">
              <w:rPr>
                <w:rFonts w:ascii="Times New Roman" w:eastAsia="Times New Roman" w:hAnsi="Times New Roman" w:cs="Times New Roman"/>
                <w:color w:val="000000"/>
                <w:lang w:eastAsia="hr-HR"/>
              </w:rPr>
              <w:t>1</w:t>
            </w:r>
          </w:p>
        </w:tc>
        <w:tc>
          <w:tcPr>
            <w:tcW w:w="1765" w:type="dxa"/>
            <w:tcBorders>
              <w:top w:val="nil"/>
              <w:left w:val="nil"/>
              <w:bottom w:val="single" w:sz="4" w:space="0" w:color="auto"/>
              <w:right w:val="single" w:sz="4" w:space="0" w:color="auto"/>
            </w:tcBorders>
            <w:shd w:val="clear" w:color="auto" w:fill="auto"/>
            <w:noWrap/>
            <w:vAlign w:val="center"/>
          </w:tcPr>
          <w:p w14:paraId="4893B600" w14:textId="02018AFD" w:rsidR="00705455" w:rsidRPr="003D67D0" w:rsidRDefault="00705455" w:rsidP="00F66AD6">
            <w:pPr>
              <w:spacing w:after="0" w:line="240" w:lineRule="auto"/>
              <w:jc w:val="center"/>
              <w:rPr>
                <w:rFonts w:ascii="Times New Roman" w:eastAsia="Times New Roman" w:hAnsi="Times New Roman" w:cs="Times New Roman"/>
                <w:color w:val="000000"/>
                <w:lang w:eastAsia="hr-HR"/>
              </w:rPr>
            </w:pPr>
            <w:r w:rsidRPr="003D67D0">
              <w:rPr>
                <w:rFonts w:ascii="Times New Roman" w:eastAsia="Times New Roman" w:hAnsi="Times New Roman" w:cs="Times New Roman"/>
                <w:color w:val="000000"/>
                <w:lang w:eastAsia="hr-HR"/>
              </w:rPr>
              <w:t>0</w:t>
            </w:r>
          </w:p>
        </w:tc>
      </w:tr>
      <w:tr w:rsidR="00705455" w:rsidRPr="00375117" w14:paraId="6EAC6F99" w14:textId="77777777" w:rsidTr="003D67D0">
        <w:trPr>
          <w:trHeight w:val="460"/>
        </w:trPr>
        <w:tc>
          <w:tcPr>
            <w:tcW w:w="5529" w:type="dxa"/>
            <w:gridSpan w:val="2"/>
            <w:tcBorders>
              <w:top w:val="nil"/>
              <w:left w:val="single" w:sz="4" w:space="0" w:color="auto"/>
              <w:bottom w:val="single" w:sz="4" w:space="0" w:color="auto"/>
              <w:right w:val="single" w:sz="4" w:space="0" w:color="auto"/>
            </w:tcBorders>
            <w:shd w:val="clear" w:color="000000" w:fill="F2F2F2"/>
          </w:tcPr>
          <w:p w14:paraId="3B3A2F02" w14:textId="68DEBC99" w:rsidR="00705455" w:rsidRPr="003D67D0" w:rsidRDefault="00705455" w:rsidP="00F66AD6">
            <w:pPr>
              <w:spacing w:after="0" w:line="240" w:lineRule="auto"/>
              <w:jc w:val="right"/>
              <w:rPr>
                <w:rFonts w:ascii="Times New Roman" w:eastAsia="Times New Roman" w:hAnsi="Times New Roman" w:cs="Times New Roman"/>
                <w:b/>
                <w:color w:val="000000"/>
                <w:lang w:eastAsia="hr-HR"/>
              </w:rPr>
            </w:pPr>
            <w:r w:rsidRPr="003D67D0">
              <w:rPr>
                <w:rFonts w:ascii="Times New Roman" w:eastAsia="Times New Roman" w:hAnsi="Times New Roman" w:cs="Times New Roman"/>
                <w:b/>
                <w:color w:val="000000"/>
                <w:lang w:eastAsia="hr-HR"/>
              </w:rPr>
              <w:t>Ukupno:</w:t>
            </w:r>
          </w:p>
        </w:tc>
        <w:tc>
          <w:tcPr>
            <w:tcW w:w="1778" w:type="dxa"/>
            <w:tcBorders>
              <w:top w:val="nil"/>
              <w:left w:val="nil"/>
              <w:bottom w:val="single" w:sz="4" w:space="0" w:color="auto"/>
              <w:right w:val="single" w:sz="4" w:space="0" w:color="auto"/>
            </w:tcBorders>
            <w:shd w:val="clear" w:color="000000" w:fill="F2F2F2"/>
            <w:noWrap/>
            <w:vAlign w:val="center"/>
          </w:tcPr>
          <w:p w14:paraId="422A428F" w14:textId="553AE6D2" w:rsidR="00705455" w:rsidRPr="003D67D0" w:rsidRDefault="00705455" w:rsidP="00F66AD6">
            <w:pPr>
              <w:spacing w:after="0" w:line="240" w:lineRule="auto"/>
              <w:jc w:val="center"/>
              <w:rPr>
                <w:rFonts w:ascii="Times New Roman" w:eastAsia="Times New Roman" w:hAnsi="Times New Roman" w:cs="Times New Roman"/>
                <w:b/>
                <w:color w:val="000000"/>
                <w:lang w:eastAsia="hr-HR"/>
              </w:rPr>
            </w:pPr>
            <w:r w:rsidRPr="003D67D0">
              <w:rPr>
                <w:rFonts w:ascii="Times New Roman" w:eastAsia="Times New Roman" w:hAnsi="Times New Roman" w:cs="Times New Roman"/>
                <w:b/>
                <w:color w:val="000000"/>
                <w:lang w:eastAsia="hr-HR"/>
              </w:rPr>
              <w:t>8</w:t>
            </w:r>
          </w:p>
        </w:tc>
        <w:tc>
          <w:tcPr>
            <w:tcW w:w="1765" w:type="dxa"/>
            <w:tcBorders>
              <w:top w:val="nil"/>
              <w:left w:val="nil"/>
              <w:bottom w:val="single" w:sz="4" w:space="0" w:color="auto"/>
              <w:right w:val="single" w:sz="4" w:space="0" w:color="auto"/>
            </w:tcBorders>
            <w:shd w:val="clear" w:color="000000" w:fill="F2F2F2"/>
            <w:noWrap/>
            <w:vAlign w:val="center"/>
          </w:tcPr>
          <w:p w14:paraId="6A4831D4" w14:textId="085FAA77" w:rsidR="00705455" w:rsidRPr="003D67D0" w:rsidRDefault="00705455" w:rsidP="00F66AD6">
            <w:pPr>
              <w:spacing w:after="0" w:line="240" w:lineRule="auto"/>
              <w:jc w:val="center"/>
              <w:rPr>
                <w:rFonts w:ascii="Times New Roman" w:eastAsia="Times New Roman" w:hAnsi="Times New Roman" w:cs="Times New Roman"/>
                <w:b/>
                <w:color w:val="000000"/>
                <w:lang w:eastAsia="hr-HR"/>
              </w:rPr>
            </w:pPr>
            <w:r w:rsidRPr="003D67D0">
              <w:rPr>
                <w:rFonts w:ascii="Times New Roman" w:eastAsia="Times New Roman" w:hAnsi="Times New Roman" w:cs="Times New Roman"/>
                <w:b/>
                <w:color w:val="000000"/>
                <w:lang w:eastAsia="hr-HR"/>
              </w:rPr>
              <w:t>7</w:t>
            </w:r>
          </w:p>
        </w:tc>
      </w:tr>
    </w:tbl>
    <w:p w14:paraId="72A9E802" w14:textId="77777777" w:rsidR="008A655C" w:rsidRPr="008A655C" w:rsidRDefault="008A655C" w:rsidP="008A655C">
      <w:pPr>
        <w:spacing w:after="0" w:line="240" w:lineRule="auto"/>
        <w:jc w:val="both"/>
        <w:rPr>
          <w:rFonts w:ascii="Times New Roman" w:eastAsia="Calibri" w:hAnsi="Times New Roman" w:cs="Times New Roman"/>
          <w:color w:val="000000" w:themeColor="text1"/>
          <w:sz w:val="24"/>
          <w:szCs w:val="24"/>
        </w:rPr>
      </w:pPr>
    </w:p>
    <w:p w14:paraId="7B36772E" w14:textId="77777777" w:rsidR="008A655C" w:rsidRPr="008A655C" w:rsidRDefault="008A655C" w:rsidP="008A655C">
      <w:pPr>
        <w:spacing w:after="0" w:line="240" w:lineRule="auto"/>
        <w:jc w:val="both"/>
        <w:rPr>
          <w:rFonts w:ascii="Times New Roman" w:hAnsi="Times New Roman" w:cs="Times New Roman"/>
          <w:b/>
          <w:color w:val="000000" w:themeColor="text1"/>
          <w:sz w:val="24"/>
          <w:szCs w:val="24"/>
        </w:rPr>
      </w:pPr>
      <w:bookmarkStart w:id="30" w:name="_Toc74662621"/>
      <w:r w:rsidRPr="008A655C">
        <w:rPr>
          <w:rFonts w:ascii="Times New Roman" w:hAnsi="Times New Roman" w:cs="Times New Roman"/>
          <w:b/>
          <w:color w:val="000000" w:themeColor="text1"/>
          <w:sz w:val="24"/>
          <w:szCs w:val="24"/>
        </w:rPr>
        <w:lastRenderedPageBreak/>
        <w:t>Stručno osposobljavanje i izobrazba obveznika</w:t>
      </w:r>
      <w:bookmarkEnd w:id="30"/>
    </w:p>
    <w:p w14:paraId="2008BAF7" w14:textId="77777777" w:rsidR="008A655C" w:rsidRPr="008A655C" w:rsidRDefault="008A655C" w:rsidP="008A655C">
      <w:pPr>
        <w:spacing w:before="60" w:after="0" w:line="240" w:lineRule="auto"/>
        <w:jc w:val="both"/>
        <w:rPr>
          <w:rFonts w:ascii="Times New Roman" w:eastAsia="Times New Roman" w:hAnsi="Times New Roman" w:cs="Times New Roman"/>
          <w:color w:val="000000" w:themeColor="text1"/>
          <w:sz w:val="24"/>
          <w:szCs w:val="24"/>
          <w:lang w:eastAsia="hr-HR"/>
        </w:rPr>
      </w:pPr>
      <w:r w:rsidRPr="008A655C">
        <w:rPr>
          <w:rFonts w:ascii="Times New Roman" w:eastAsia="Times New Roman" w:hAnsi="Times New Roman" w:cs="Times New Roman"/>
          <w:color w:val="000000" w:themeColor="text1"/>
          <w:sz w:val="24"/>
          <w:szCs w:val="24"/>
          <w:lang w:eastAsia="hr-HR"/>
        </w:rPr>
        <w:t xml:space="preserve">Jedan od ključnih čimbenika učinkovitog sustava za sprječavanje pranja novca i financiranja terorizma kod obveznika je odgovarajuće obrazovanje i osposobljavanje zaposlenika obveznika te zaposlenika nadležnih tijela sustava sprječavanja pranja novca i financiranja terorizma u Republici Hrvatskoj. U pogledu podizanja razine svijesti obveznika i ostalih dionika sustava o novinama u području provođenja mjera i radnji radi sprječavanja pranja novca i financiranja terorizma, rizicima povezanim s pranjem novca i financiranjem terorizma,  Nacionalnoj procijeni rizika, Nadnacionalnoj procijeni rizika, slučajevima pranja novca iz prakse, tipologijama i trendovima pranja novca, Ured samostalno i u suradnji sa nadležnim nadzornim tijelima je tijekom 2022. pružio edukaciju obveznicima – kreditnim institucijama, institucijama za platni promet, institucijama za elektronički novac te subjektima nadzora HANFA-e. </w:t>
      </w:r>
    </w:p>
    <w:p w14:paraId="09F9677B" w14:textId="77777777" w:rsidR="008A655C" w:rsidRPr="008A655C" w:rsidRDefault="008A655C" w:rsidP="008A655C">
      <w:pPr>
        <w:spacing w:after="0" w:line="240" w:lineRule="auto"/>
        <w:contextualSpacing/>
        <w:jc w:val="both"/>
        <w:rPr>
          <w:rFonts w:ascii="Times New Roman" w:eastAsia="Times New Roman" w:hAnsi="Times New Roman" w:cs="Times New Roman"/>
          <w:color w:val="000000" w:themeColor="text1"/>
          <w:sz w:val="24"/>
          <w:szCs w:val="24"/>
          <w:lang w:eastAsia="hr-HR"/>
        </w:rPr>
      </w:pPr>
    </w:p>
    <w:p w14:paraId="400393AE" w14:textId="36FF6E80" w:rsidR="008A655C" w:rsidRDefault="008A655C" w:rsidP="008A655C">
      <w:pPr>
        <w:spacing w:after="0" w:line="240" w:lineRule="auto"/>
        <w:jc w:val="both"/>
        <w:rPr>
          <w:rFonts w:ascii="Times New Roman" w:eastAsia="Calibri" w:hAnsi="Times New Roman" w:cs="Times New Roman"/>
          <w:bCs/>
          <w:color w:val="000000" w:themeColor="text1"/>
          <w:sz w:val="24"/>
          <w:szCs w:val="24"/>
        </w:rPr>
      </w:pPr>
      <w:r w:rsidRPr="008A655C">
        <w:rPr>
          <w:rFonts w:ascii="Times New Roman" w:eastAsia="Calibri" w:hAnsi="Times New Roman" w:cs="Times New Roman"/>
          <w:bCs/>
          <w:color w:val="000000" w:themeColor="text1"/>
          <w:sz w:val="24"/>
          <w:szCs w:val="24"/>
        </w:rPr>
        <w:t>U Tablici 2</w:t>
      </w:r>
      <w:r w:rsidR="003D67D0">
        <w:rPr>
          <w:rFonts w:ascii="Times New Roman" w:eastAsia="Calibri" w:hAnsi="Times New Roman" w:cs="Times New Roman"/>
          <w:bCs/>
          <w:color w:val="000000" w:themeColor="text1"/>
          <w:sz w:val="24"/>
          <w:szCs w:val="24"/>
        </w:rPr>
        <w:t>5</w:t>
      </w:r>
      <w:r w:rsidRPr="008A655C">
        <w:rPr>
          <w:rFonts w:ascii="Times New Roman" w:eastAsia="Calibri" w:hAnsi="Times New Roman" w:cs="Times New Roman"/>
          <w:bCs/>
          <w:color w:val="000000" w:themeColor="text1"/>
          <w:sz w:val="24"/>
          <w:szCs w:val="24"/>
        </w:rPr>
        <w:t xml:space="preserve">. prikazan je broj obavljenih edukacija na temu sprječavanja pranja novca i financiranja terorizma u kojima su sudjelovali predavači iz Ureda zajedno s predavačima nadležnih nadzornih tijela. </w:t>
      </w:r>
    </w:p>
    <w:p w14:paraId="64454450" w14:textId="21D10448" w:rsidR="008A655C" w:rsidRPr="003D67D0" w:rsidRDefault="008A655C" w:rsidP="008A655C">
      <w:pPr>
        <w:shd w:val="clear" w:color="auto" w:fill="FFFFFF" w:themeFill="background1"/>
        <w:spacing w:after="0" w:line="240" w:lineRule="auto"/>
        <w:jc w:val="both"/>
        <w:rPr>
          <w:rFonts w:ascii="Times New Roman" w:eastAsia="Times New Roman" w:hAnsi="Times New Roman" w:cs="Times New Roman"/>
          <w:bCs/>
          <w:iCs/>
          <w:color w:val="000000" w:themeColor="text1"/>
          <w:sz w:val="24"/>
          <w:szCs w:val="24"/>
          <w:lang w:eastAsia="hr-HR"/>
        </w:rPr>
      </w:pPr>
      <w:r w:rsidRPr="003D67D0">
        <w:rPr>
          <w:rFonts w:ascii="Times New Roman" w:eastAsia="Times New Roman" w:hAnsi="Times New Roman" w:cs="Times New Roman"/>
          <w:bCs/>
          <w:iCs/>
          <w:color w:val="000000" w:themeColor="text1"/>
          <w:sz w:val="24"/>
          <w:szCs w:val="24"/>
          <w:lang w:eastAsia="hr-HR"/>
        </w:rPr>
        <w:t>Tablica 2</w:t>
      </w:r>
      <w:r w:rsidR="003D67D0" w:rsidRPr="003D67D0">
        <w:rPr>
          <w:rFonts w:ascii="Times New Roman" w:eastAsia="Times New Roman" w:hAnsi="Times New Roman" w:cs="Times New Roman"/>
          <w:bCs/>
          <w:iCs/>
          <w:color w:val="000000" w:themeColor="text1"/>
          <w:sz w:val="24"/>
          <w:szCs w:val="24"/>
          <w:lang w:eastAsia="hr-HR"/>
        </w:rPr>
        <w:t>5</w:t>
      </w:r>
      <w:r w:rsidRPr="003D67D0">
        <w:rPr>
          <w:rFonts w:ascii="Times New Roman" w:eastAsia="Times New Roman" w:hAnsi="Times New Roman" w:cs="Times New Roman"/>
          <w:bCs/>
          <w:iCs/>
          <w:color w:val="000000" w:themeColor="text1"/>
          <w:sz w:val="24"/>
          <w:szCs w:val="24"/>
          <w:lang w:eastAsia="hr-HR"/>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590C5"/>
        <w:tblLayout w:type="fixed"/>
        <w:tblLook w:val="01E0" w:firstRow="1" w:lastRow="1" w:firstColumn="1" w:lastColumn="1" w:noHBand="0" w:noVBand="0"/>
      </w:tblPr>
      <w:tblGrid>
        <w:gridCol w:w="5954"/>
        <w:gridCol w:w="1701"/>
        <w:gridCol w:w="1417"/>
      </w:tblGrid>
      <w:tr w:rsidR="00705455" w:rsidRPr="008A655C" w14:paraId="31EE7CD3" w14:textId="77777777" w:rsidTr="003D67D0">
        <w:trPr>
          <w:trHeight w:val="315"/>
        </w:trPr>
        <w:tc>
          <w:tcPr>
            <w:tcW w:w="5954" w:type="dxa"/>
            <w:vMerge w:val="restart"/>
            <w:shd w:val="clear" w:color="auto" w:fill="auto"/>
            <w:vAlign w:val="center"/>
          </w:tcPr>
          <w:p w14:paraId="505AA38D" w14:textId="69303C86" w:rsidR="00705455" w:rsidRPr="008A655C" w:rsidRDefault="00705455" w:rsidP="00705455">
            <w:pPr>
              <w:shd w:val="clear" w:color="auto" w:fill="FFFFFF" w:themeFill="background1"/>
              <w:spacing w:after="0" w:line="240" w:lineRule="auto"/>
              <w:jc w:val="center"/>
              <w:rPr>
                <w:rFonts w:ascii="Times New Roman" w:eastAsia="Times New Roman" w:hAnsi="Times New Roman" w:cs="Times New Roman"/>
                <w:b/>
                <w:sz w:val="20"/>
                <w:szCs w:val="20"/>
                <w:lang w:eastAsia="hr-HR"/>
              </w:rPr>
            </w:pPr>
            <w:r w:rsidRPr="008A655C">
              <w:rPr>
                <w:rFonts w:ascii="Times New Roman" w:eastAsia="Times New Roman" w:hAnsi="Times New Roman" w:cs="Times New Roman"/>
                <w:b/>
                <w:sz w:val="20"/>
                <w:szCs w:val="20"/>
                <w:lang w:eastAsia="hr-HR"/>
              </w:rPr>
              <w:t xml:space="preserve">EDUKACIJA </w:t>
            </w:r>
          </w:p>
        </w:tc>
        <w:tc>
          <w:tcPr>
            <w:tcW w:w="1701" w:type="dxa"/>
            <w:shd w:val="clear" w:color="auto" w:fill="auto"/>
            <w:vAlign w:val="center"/>
          </w:tcPr>
          <w:p w14:paraId="4041470B" w14:textId="6821D452" w:rsidR="00705455" w:rsidRPr="003D67D0" w:rsidRDefault="00705455" w:rsidP="008A655C">
            <w:pPr>
              <w:shd w:val="clear" w:color="auto" w:fill="FFFFFF" w:themeFill="background1"/>
              <w:spacing w:after="0" w:line="240" w:lineRule="auto"/>
              <w:jc w:val="center"/>
              <w:rPr>
                <w:rFonts w:ascii="Times New Roman" w:eastAsia="Times New Roman" w:hAnsi="Times New Roman" w:cs="Times New Roman"/>
                <w:b/>
                <w:sz w:val="20"/>
                <w:szCs w:val="20"/>
                <w:lang w:eastAsia="hr-HR"/>
              </w:rPr>
            </w:pPr>
            <w:r w:rsidRPr="003D67D0">
              <w:rPr>
                <w:rFonts w:ascii="Times New Roman" w:eastAsia="Times New Roman" w:hAnsi="Times New Roman" w:cs="Times New Roman"/>
                <w:b/>
                <w:sz w:val="20"/>
                <w:szCs w:val="20"/>
                <w:lang w:eastAsia="hr-HR"/>
              </w:rPr>
              <w:t>2021.</w:t>
            </w:r>
          </w:p>
        </w:tc>
        <w:tc>
          <w:tcPr>
            <w:tcW w:w="1417" w:type="dxa"/>
            <w:shd w:val="clear" w:color="auto" w:fill="auto"/>
            <w:vAlign w:val="center"/>
          </w:tcPr>
          <w:p w14:paraId="234F3D46" w14:textId="25FF01C9" w:rsidR="00705455" w:rsidRPr="003D67D0" w:rsidRDefault="00705455" w:rsidP="008A655C">
            <w:pPr>
              <w:shd w:val="clear" w:color="auto" w:fill="FFFFFF" w:themeFill="background1"/>
              <w:spacing w:after="0" w:line="240" w:lineRule="auto"/>
              <w:jc w:val="center"/>
              <w:rPr>
                <w:rFonts w:ascii="Times New Roman" w:eastAsia="Times New Roman" w:hAnsi="Times New Roman" w:cs="Times New Roman"/>
                <w:b/>
                <w:sz w:val="20"/>
                <w:szCs w:val="20"/>
                <w:lang w:eastAsia="hr-HR"/>
              </w:rPr>
            </w:pPr>
            <w:r w:rsidRPr="003D67D0">
              <w:rPr>
                <w:rFonts w:ascii="Times New Roman" w:eastAsia="Times New Roman" w:hAnsi="Times New Roman" w:cs="Times New Roman"/>
                <w:b/>
                <w:sz w:val="20"/>
                <w:szCs w:val="20"/>
                <w:lang w:eastAsia="hr-HR"/>
              </w:rPr>
              <w:t>2022.</w:t>
            </w:r>
          </w:p>
        </w:tc>
      </w:tr>
      <w:tr w:rsidR="00705455" w:rsidRPr="008A655C" w14:paraId="0594808A" w14:textId="77777777" w:rsidTr="003D67D0">
        <w:trPr>
          <w:trHeight w:val="315"/>
        </w:trPr>
        <w:tc>
          <w:tcPr>
            <w:tcW w:w="5954" w:type="dxa"/>
            <w:vMerge/>
            <w:shd w:val="clear" w:color="auto" w:fill="auto"/>
            <w:vAlign w:val="center"/>
          </w:tcPr>
          <w:p w14:paraId="14A745CE" w14:textId="77777777" w:rsidR="00705455" w:rsidRPr="008A655C" w:rsidRDefault="00705455" w:rsidP="00705455">
            <w:pPr>
              <w:shd w:val="clear" w:color="auto" w:fill="FFFFFF" w:themeFill="background1"/>
              <w:spacing w:after="0" w:line="240" w:lineRule="auto"/>
              <w:jc w:val="center"/>
              <w:rPr>
                <w:rFonts w:ascii="Times New Roman" w:eastAsia="Times New Roman" w:hAnsi="Times New Roman" w:cs="Times New Roman"/>
                <w:b/>
                <w:sz w:val="20"/>
                <w:szCs w:val="20"/>
                <w:lang w:eastAsia="hr-HR"/>
              </w:rPr>
            </w:pPr>
          </w:p>
        </w:tc>
        <w:tc>
          <w:tcPr>
            <w:tcW w:w="1701" w:type="dxa"/>
            <w:shd w:val="clear" w:color="auto" w:fill="auto"/>
            <w:vAlign w:val="center"/>
          </w:tcPr>
          <w:p w14:paraId="702DAFBF" w14:textId="41FF025F" w:rsidR="00705455" w:rsidRPr="000041DC" w:rsidRDefault="00705455" w:rsidP="000041DC">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041DC">
              <w:rPr>
                <w:rFonts w:ascii="Times New Roman" w:eastAsia="Times New Roman" w:hAnsi="Times New Roman" w:cs="Times New Roman"/>
                <w:sz w:val="20"/>
                <w:szCs w:val="20"/>
                <w:lang w:eastAsia="hr-HR"/>
              </w:rPr>
              <w:t xml:space="preserve">broj </w:t>
            </w:r>
            <w:r w:rsidR="000041DC">
              <w:rPr>
                <w:rFonts w:ascii="Times New Roman" w:eastAsia="Times New Roman" w:hAnsi="Times New Roman" w:cs="Times New Roman"/>
                <w:sz w:val="20"/>
                <w:szCs w:val="20"/>
                <w:lang w:eastAsia="hr-HR"/>
              </w:rPr>
              <w:t>sudionika</w:t>
            </w:r>
          </w:p>
        </w:tc>
        <w:tc>
          <w:tcPr>
            <w:tcW w:w="1417" w:type="dxa"/>
            <w:shd w:val="clear" w:color="auto" w:fill="auto"/>
            <w:vAlign w:val="center"/>
          </w:tcPr>
          <w:p w14:paraId="23BC3045" w14:textId="0DE27740" w:rsidR="00705455" w:rsidRPr="000041DC" w:rsidRDefault="000041DC" w:rsidP="000041DC">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041DC">
              <w:rPr>
                <w:rFonts w:ascii="Times New Roman" w:eastAsia="Times New Roman" w:hAnsi="Times New Roman" w:cs="Times New Roman"/>
                <w:sz w:val="20"/>
                <w:szCs w:val="20"/>
                <w:lang w:eastAsia="hr-HR"/>
              </w:rPr>
              <w:t xml:space="preserve">broj </w:t>
            </w:r>
            <w:r>
              <w:rPr>
                <w:rFonts w:ascii="Times New Roman" w:eastAsia="Times New Roman" w:hAnsi="Times New Roman" w:cs="Times New Roman"/>
                <w:sz w:val="20"/>
                <w:szCs w:val="20"/>
                <w:lang w:eastAsia="hr-HR"/>
              </w:rPr>
              <w:t>sudionika</w:t>
            </w:r>
          </w:p>
        </w:tc>
      </w:tr>
      <w:tr w:rsidR="000041DC" w:rsidRPr="008A655C" w14:paraId="4BE0170E" w14:textId="77777777" w:rsidTr="003D67D0">
        <w:trPr>
          <w:trHeight w:val="690"/>
        </w:trPr>
        <w:tc>
          <w:tcPr>
            <w:tcW w:w="5954" w:type="dxa"/>
            <w:vAlign w:val="center"/>
          </w:tcPr>
          <w:p w14:paraId="25376EB0" w14:textId="77777777" w:rsidR="000041DC" w:rsidRPr="008A655C" w:rsidRDefault="000041DC" w:rsidP="000041DC">
            <w:pPr>
              <w:shd w:val="clear" w:color="auto" w:fill="FFFFFF" w:themeFill="background1"/>
              <w:spacing w:after="0" w:line="254" w:lineRule="auto"/>
              <w:jc w:val="both"/>
              <w:rPr>
                <w:rFonts w:ascii="Times New Roman" w:eastAsia="MS Mincho" w:hAnsi="Times New Roman" w:cs="Times New Roman"/>
                <w:sz w:val="20"/>
                <w:szCs w:val="20"/>
                <w:lang w:eastAsia="ja-JP"/>
              </w:rPr>
            </w:pPr>
            <w:r w:rsidRPr="008A655C">
              <w:rPr>
                <w:rFonts w:ascii="Times New Roman" w:eastAsia="MS Mincho" w:hAnsi="Times New Roman" w:cs="Times New Roman"/>
                <w:sz w:val="20"/>
                <w:szCs w:val="20"/>
                <w:lang w:eastAsia="ja-JP"/>
              </w:rPr>
              <w:t xml:space="preserve">Seminar o sprječavanju pranja novca i financiranja terorizma za subjekte nadzora HANFA-e </w:t>
            </w:r>
          </w:p>
        </w:tc>
        <w:tc>
          <w:tcPr>
            <w:tcW w:w="1701" w:type="dxa"/>
            <w:vAlign w:val="center"/>
          </w:tcPr>
          <w:p w14:paraId="5A9E2D14" w14:textId="489D3673" w:rsidR="000041DC" w:rsidRPr="000041DC" w:rsidRDefault="000041DC" w:rsidP="000041DC">
            <w:pPr>
              <w:shd w:val="clear" w:color="auto" w:fill="FFFFFF" w:themeFill="background1"/>
              <w:spacing w:after="0" w:line="254" w:lineRule="auto"/>
              <w:jc w:val="center"/>
              <w:rPr>
                <w:rFonts w:ascii="Times New Roman" w:eastAsia="Calibri" w:hAnsi="Times New Roman" w:cs="Times New Roman"/>
                <w:sz w:val="20"/>
                <w:szCs w:val="20"/>
              </w:rPr>
            </w:pPr>
            <w:r w:rsidRPr="00524DFB">
              <w:rPr>
                <w:rFonts w:ascii="Times New Roman" w:eastAsia="Calibri" w:hAnsi="Times New Roman" w:cs="Times New Roman"/>
                <w:sz w:val="20"/>
                <w:szCs w:val="20"/>
              </w:rPr>
              <w:t>214</w:t>
            </w:r>
          </w:p>
        </w:tc>
        <w:tc>
          <w:tcPr>
            <w:tcW w:w="1417" w:type="dxa"/>
            <w:vAlign w:val="center"/>
          </w:tcPr>
          <w:p w14:paraId="01343BA0" w14:textId="0D0FDD65" w:rsidR="000041DC" w:rsidRPr="000041DC" w:rsidRDefault="000041DC" w:rsidP="000041DC">
            <w:pPr>
              <w:shd w:val="clear" w:color="auto" w:fill="FFFFFF" w:themeFill="background1"/>
              <w:spacing w:after="0" w:line="25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157</w:t>
            </w:r>
          </w:p>
        </w:tc>
      </w:tr>
      <w:tr w:rsidR="000041DC" w:rsidRPr="008A655C" w14:paraId="0BA4A665" w14:textId="77777777" w:rsidTr="003D67D0">
        <w:trPr>
          <w:trHeight w:val="660"/>
        </w:trPr>
        <w:tc>
          <w:tcPr>
            <w:tcW w:w="5954" w:type="dxa"/>
            <w:vAlign w:val="center"/>
          </w:tcPr>
          <w:p w14:paraId="6EE15B30" w14:textId="77777777" w:rsidR="000041DC" w:rsidRPr="008A655C" w:rsidRDefault="000041DC" w:rsidP="000041DC">
            <w:pPr>
              <w:shd w:val="clear" w:color="auto" w:fill="FFFFFF" w:themeFill="background1"/>
              <w:spacing w:after="0" w:line="254" w:lineRule="auto"/>
              <w:jc w:val="both"/>
              <w:rPr>
                <w:rFonts w:ascii="Times New Roman" w:eastAsia="MS Mincho" w:hAnsi="Times New Roman" w:cs="Times New Roman"/>
                <w:sz w:val="20"/>
                <w:szCs w:val="20"/>
                <w:lang w:eastAsia="ja-JP"/>
              </w:rPr>
            </w:pPr>
            <w:r w:rsidRPr="008A655C">
              <w:rPr>
                <w:rFonts w:ascii="Times New Roman" w:eastAsia="MS Mincho" w:hAnsi="Times New Roman" w:cs="Times New Roman"/>
                <w:sz w:val="20"/>
                <w:szCs w:val="20"/>
                <w:lang w:eastAsia="ja-JP"/>
              </w:rPr>
              <w:t>Seminar o sprječavanju pranja novca i financiranja terorizma za kreditne institucije, institucije za platni promet i institucije za elektronički novac</w:t>
            </w:r>
          </w:p>
        </w:tc>
        <w:tc>
          <w:tcPr>
            <w:tcW w:w="1701" w:type="dxa"/>
            <w:vAlign w:val="center"/>
          </w:tcPr>
          <w:p w14:paraId="56742358" w14:textId="641B6E2A" w:rsidR="000041DC" w:rsidRPr="008A655C" w:rsidRDefault="000041DC" w:rsidP="000041DC">
            <w:pPr>
              <w:shd w:val="clear" w:color="auto" w:fill="FFFFFF" w:themeFill="background1"/>
              <w:spacing w:after="0" w:line="254" w:lineRule="auto"/>
              <w:jc w:val="center"/>
              <w:rPr>
                <w:rFonts w:ascii="Times New Roman" w:eastAsia="Calibri" w:hAnsi="Times New Roman" w:cs="Times New Roman"/>
                <w:sz w:val="20"/>
                <w:szCs w:val="20"/>
              </w:rPr>
            </w:pPr>
            <w:r w:rsidRPr="00524DFB">
              <w:rPr>
                <w:rFonts w:ascii="Times New Roman" w:eastAsia="Calibri" w:hAnsi="Times New Roman" w:cs="Times New Roman"/>
                <w:sz w:val="20"/>
                <w:szCs w:val="20"/>
              </w:rPr>
              <w:t>155</w:t>
            </w:r>
          </w:p>
        </w:tc>
        <w:tc>
          <w:tcPr>
            <w:tcW w:w="1417" w:type="dxa"/>
            <w:vAlign w:val="center"/>
          </w:tcPr>
          <w:p w14:paraId="407CB7D1" w14:textId="7802FDB6" w:rsidR="000041DC" w:rsidRPr="008A655C" w:rsidRDefault="000041DC" w:rsidP="000041DC">
            <w:pPr>
              <w:shd w:val="clear" w:color="auto" w:fill="FFFFFF" w:themeFill="background1"/>
              <w:spacing w:after="0" w:line="25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163</w:t>
            </w:r>
          </w:p>
        </w:tc>
      </w:tr>
      <w:tr w:rsidR="000041DC" w:rsidRPr="008A655C" w14:paraId="54CC229A" w14:textId="77777777" w:rsidTr="003D67D0">
        <w:trPr>
          <w:trHeight w:val="427"/>
        </w:trPr>
        <w:tc>
          <w:tcPr>
            <w:tcW w:w="5954" w:type="dxa"/>
            <w:vAlign w:val="center"/>
          </w:tcPr>
          <w:p w14:paraId="5E46083F" w14:textId="06DB0C40" w:rsidR="000041DC" w:rsidRPr="003D67D0" w:rsidRDefault="003D67D0" w:rsidP="000041DC">
            <w:pPr>
              <w:shd w:val="clear" w:color="auto" w:fill="FFFFFF" w:themeFill="background1"/>
              <w:spacing w:after="0" w:line="254" w:lineRule="auto"/>
              <w:jc w:val="right"/>
              <w:rPr>
                <w:rFonts w:ascii="Times New Roman" w:eastAsia="MS Mincho" w:hAnsi="Times New Roman" w:cs="Times New Roman"/>
                <w:b/>
                <w:sz w:val="20"/>
                <w:szCs w:val="20"/>
                <w:lang w:eastAsia="ja-JP"/>
              </w:rPr>
            </w:pPr>
            <w:r w:rsidRPr="003D67D0">
              <w:rPr>
                <w:rFonts w:ascii="Times New Roman" w:eastAsia="MS Mincho" w:hAnsi="Times New Roman" w:cs="Times New Roman"/>
                <w:b/>
                <w:sz w:val="20"/>
                <w:szCs w:val="20"/>
                <w:lang w:eastAsia="ja-JP"/>
              </w:rPr>
              <w:t>U</w:t>
            </w:r>
            <w:r w:rsidR="000041DC" w:rsidRPr="003D67D0">
              <w:rPr>
                <w:rFonts w:ascii="Times New Roman" w:eastAsia="MS Mincho" w:hAnsi="Times New Roman" w:cs="Times New Roman"/>
                <w:b/>
                <w:sz w:val="20"/>
                <w:szCs w:val="20"/>
                <w:lang w:eastAsia="ja-JP"/>
              </w:rPr>
              <w:t>kupno:</w:t>
            </w:r>
          </w:p>
        </w:tc>
        <w:tc>
          <w:tcPr>
            <w:tcW w:w="1701" w:type="dxa"/>
            <w:vAlign w:val="center"/>
          </w:tcPr>
          <w:p w14:paraId="3FB7386C" w14:textId="27E83361" w:rsidR="000041DC" w:rsidRPr="003D67D0" w:rsidRDefault="000041DC" w:rsidP="000041DC">
            <w:pPr>
              <w:shd w:val="clear" w:color="auto" w:fill="FFFFFF" w:themeFill="background1"/>
              <w:spacing w:after="0" w:line="254" w:lineRule="auto"/>
              <w:jc w:val="center"/>
              <w:rPr>
                <w:rFonts w:ascii="Times New Roman" w:eastAsia="Calibri" w:hAnsi="Times New Roman" w:cs="Times New Roman"/>
                <w:b/>
                <w:sz w:val="20"/>
                <w:szCs w:val="20"/>
              </w:rPr>
            </w:pPr>
            <w:r w:rsidRPr="003D67D0">
              <w:rPr>
                <w:rFonts w:ascii="Times New Roman" w:eastAsia="Calibri" w:hAnsi="Times New Roman" w:cs="Times New Roman"/>
                <w:b/>
                <w:sz w:val="20"/>
                <w:szCs w:val="20"/>
              </w:rPr>
              <w:t>369</w:t>
            </w:r>
          </w:p>
        </w:tc>
        <w:tc>
          <w:tcPr>
            <w:tcW w:w="1417" w:type="dxa"/>
            <w:vAlign w:val="center"/>
          </w:tcPr>
          <w:p w14:paraId="72FC5169" w14:textId="163A9F88" w:rsidR="000041DC" w:rsidRPr="003D67D0" w:rsidRDefault="000041DC" w:rsidP="000041DC">
            <w:pPr>
              <w:shd w:val="clear" w:color="auto" w:fill="FFFFFF" w:themeFill="background1"/>
              <w:spacing w:after="0" w:line="254" w:lineRule="auto"/>
              <w:jc w:val="center"/>
              <w:rPr>
                <w:rFonts w:ascii="Times New Roman" w:eastAsia="Calibri" w:hAnsi="Times New Roman" w:cs="Times New Roman"/>
                <w:b/>
                <w:sz w:val="20"/>
                <w:szCs w:val="20"/>
              </w:rPr>
            </w:pPr>
            <w:r w:rsidRPr="003D67D0">
              <w:rPr>
                <w:rFonts w:ascii="Times New Roman" w:eastAsia="Calibri" w:hAnsi="Times New Roman" w:cs="Times New Roman"/>
                <w:b/>
                <w:sz w:val="20"/>
                <w:szCs w:val="20"/>
              </w:rPr>
              <w:t>320</w:t>
            </w:r>
          </w:p>
        </w:tc>
      </w:tr>
    </w:tbl>
    <w:p w14:paraId="5A351BDE" w14:textId="77777777" w:rsidR="008A655C" w:rsidRPr="008A655C" w:rsidRDefault="008A655C" w:rsidP="008A655C">
      <w:pPr>
        <w:shd w:val="clear" w:color="auto" w:fill="FFFFFF" w:themeFill="background1"/>
        <w:spacing w:after="0" w:line="240" w:lineRule="auto"/>
        <w:ind w:left="360"/>
        <w:jc w:val="both"/>
        <w:rPr>
          <w:rFonts w:ascii="Times New Roman" w:eastAsia="Times New Roman" w:hAnsi="Times New Roman" w:cs="Times New Roman"/>
          <w:b/>
          <w:bCs/>
          <w:iCs/>
          <w:sz w:val="24"/>
          <w:szCs w:val="24"/>
          <w:lang w:eastAsia="hr-HR"/>
        </w:rPr>
      </w:pPr>
    </w:p>
    <w:p w14:paraId="427AF9ED" w14:textId="77777777" w:rsidR="008A655C" w:rsidRPr="008A655C" w:rsidRDefault="008A655C" w:rsidP="008A655C">
      <w:pPr>
        <w:shd w:val="clear" w:color="auto" w:fill="FFFFFF" w:themeFill="background1"/>
        <w:spacing w:after="60" w:line="240" w:lineRule="auto"/>
        <w:jc w:val="both"/>
        <w:rPr>
          <w:rFonts w:ascii="Times New Roman" w:eastAsia="Times New Roman" w:hAnsi="Times New Roman" w:cs="Times New Roman"/>
          <w:b/>
          <w:sz w:val="24"/>
          <w:szCs w:val="24"/>
          <w:lang w:eastAsia="hr-HR"/>
        </w:rPr>
      </w:pPr>
      <w:r w:rsidRPr="008A655C">
        <w:rPr>
          <w:rFonts w:ascii="Times New Roman" w:eastAsia="Times New Roman" w:hAnsi="Times New Roman" w:cs="Times New Roman"/>
          <w:b/>
          <w:sz w:val="24"/>
          <w:szCs w:val="24"/>
          <w:lang w:eastAsia="hr-HR"/>
        </w:rPr>
        <w:t>Izdavanje smjernica/mišljenja i stručne pomoću pravnim subjektima, obveznicima upisa u Registar stvarnih vlasnika</w:t>
      </w:r>
    </w:p>
    <w:p w14:paraId="171549DF" w14:textId="77777777" w:rsidR="000041DC" w:rsidRDefault="000041DC" w:rsidP="008A655C">
      <w:pPr>
        <w:shd w:val="clear" w:color="auto" w:fill="FFFFFF" w:themeFill="background1"/>
        <w:spacing w:after="60" w:line="240" w:lineRule="auto"/>
        <w:jc w:val="both"/>
        <w:rPr>
          <w:rFonts w:ascii="Times New Roman" w:eastAsia="Times New Roman" w:hAnsi="Times New Roman" w:cs="Times New Roman"/>
          <w:sz w:val="24"/>
          <w:szCs w:val="24"/>
          <w:lang w:eastAsia="hr-HR"/>
        </w:rPr>
      </w:pPr>
    </w:p>
    <w:p w14:paraId="02D2D09E" w14:textId="29615C0E" w:rsidR="008A655C" w:rsidRPr="008A655C" w:rsidRDefault="008A655C" w:rsidP="008A655C">
      <w:pPr>
        <w:shd w:val="clear" w:color="auto" w:fill="FFFFFF" w:themeFill="background1"/>
        <w:spacing w:after="60" w:line="240" w:lineRule="auto"/>
        <w:jc w:val="both"/>
        <w:rPr>
          <w:rFonts w:ascii="Times New Roman" w:eastAsia="Times New Roman" w:hAnsi="Times New Roman" w:cs="Times New Roman"/>
          <w:sz w:val="24"/>
          <w:szCs w:val="24"/>
          <w:lang w:eastAsia="hr-HR"/>
        </w:rPr>
      </w:pPr>
      <w:r w:rsidRPr="008A655C">
        <w:rPr>
          <w:rFonts w:ascii="Times New Roman" w:eastAsia="Times New Roman" w:hAnsi="Times New Roman" w:cs="Times New Roman"/>
          <w:sz w:val="24"/>
          <w:szCs w:val="24"/>
          <w:lang w:eastAsia="hr-HR"/>
        </w:rPr>
        <w:t xml:space="preserve">U svrhu sprječavanja zlouporabe pravnih subjekata, trusta i s trustom izjednačenih subjekata stranog prava za pranje novca i povezana predikatna kaznena djela uključujući i porezne prijevare kao i za financiranje terorizma te s ciljem povećanja transparentnosti i dostupnosti podataka o stvarnom vlasništvu, Republika Hrvatska je u lipnju 2019. uspostavila Registar stvarnih vlasnika kao središnju elektroničku bazu podataka koja sadrži podatke i informacije o stvarnom/im vlasnicima pravnih subjekata. U cilju razumijevanja stvarnog vlasništva, Ured je svakodnevno pružao stručnu pomoć obveznicima upisa u Registar bilo putem telefonskih upita ili e-maila (izdano oko 63 pisanih odgovara na upite). </w:t>
      </w:r>
    </w:p>
    <w:p w14:paraId="6C99F6DE" w14:textId="77777777" w:rsidR="008A655C" w:rsidRPr="008A655C" w:rsidRDefault="008A655C" w:rsidP="008A655C">
      <w:pPr>
        <w:shd w:val="clear" w:color="auto" w:fill="FFFFFF" w:themeFill="background1"/>
        <w:spacing w:after="60" w:line="240" w:lineRule="auto"/>
        <w:jc w:val="both"/>
        <w:rPr>
          <w:rFonts w:ascii="Times New Roman" w:eastAsia="Times New Roman" w:hAnsi="Times New Roman" w:cs="Times New Roman"/>
          <w:sz w:val="24"/>
          <w:szCs w:val="24"/>
          <w:lang w:eastAsia="hr-HR"/>
        </w:rPr>
      </w:pPr>
    </w:p>
    <w:p w14:paraId="69A088B3" w14:textId="77777777" w:rsidR="008A655C" w:rsidRPr="008A655C" w:rsidRDefault="008A655C" w:rsidP="008A655C">
      <w:pPr>
        <w:shd w:val="clear" w:color="auto" w:fill="FFFFFF" w:themeFill="background1"/>
        <w:spacing w:after="60" w:line="240" w:lineRule="auto"/>
        <w:jc w:val="both"/>
        <w:rPr>
          <w:rFonts w:ascii="Times New Roman" w:eastAsia="Calibri" w:hAnsi="Times New Roman" w:cs="Times New Roman"/>
          <w:b/>
          <w:iCs/>
          <w:sz w:val="24"/>
          <w:szCs w:val="24"/>
          <w:lang w:eastAsia="hr-HR"/>
        </w:rPr>
      </w:pPr>
      <w:r w:rsidRPr="008A655C">
        <w:rPr>
          <w:rFonts w:ascii="Times New Roman" w:eastAsia="Times New Roman" w:hAnsi="Times New Roman" w:cs="Times New Roman"/>
          <w:b/>
          <w:iCs/>
          <w:sz w:val="24"/>
          <w:szCs w:val="24"/>
          <w:lang w:eastAsia="hr-HR"/>
        </w:rPr>
        <w:t>Z</w:t>
      </w:r>
      <w:r w:rsidRPr="008A655C">
        <w:rPr>
          <w:rFonts w:ascii="Times New Roman" w:eastAsia="Calibri" w:hAnsi="Times New Roman" w:cs="Times New Roman"/>
          <w:b/>
          <w:iCs/>
          <w:sz w:val="24"/>
          <w:szCs w:val="24"/>
          <w:lang w:eastAsia="hr-HR"/>
        </w:rPr>
        <w:t>akonodavne aktivnosti</w:t>
      </w:r>
    </w:p>
    <w:p w14:paraId="4EA93B14" w14:textId="77777777" w:rsidR="008A655C" w:rsidRPr="008A655C" w:rsidRDefault="008A655C" w:rsidP="008A655C">
      <w:pPr>
        <w:shd w:val="clear" w:color="auto" w:fill="FFFFFF" w:themeFill="background1"/>
        <w:spacing w:after="60" w:line="240" w:lineRule="auto"/>
        <w:ind w:left="360"/>
        <w:jc w:val="both"/>
        <w:rPr>
          <w:rFonts w:ascii="Times New Roman" w:eastAsia="Calibri" w:hAnsi="Times New Roman" w:cs="Times New Roman"/>
          <w:b/>
          <w:iCs/>
          <w:sz w:val="24"/>
          <w:szCs w:val="24"/>
          <w:lang w:eastAsia="hr-HR"/>
        </w:rPr>
      </w:pPr>
    </w:p>
    <w:p w14:paraId="4D4C585D" w14:textId="77777777" w:rsidR="008A655C" w:rsidRPr="008A655C" w:rsidRDefault="008A655C" w:rsidP="008A655C">
      <w:pPr>
        <w:numPr>
          <w:ilvl w:val="0"/>
          <w:numId w:val="24"/>
        </w:numPr>
        <w:contextualSpacing/>
        <w:rPr>
          <w:rFonts w:ascii="Times New Roman" w:eastAsia="Calibri" w:hAnsi="Times New Roman" w:cs="Times New Roman"/>
          <w:iCs/>
          <w:sz w:val="24"/>
          <w:szCs w:val="24"/>
          <w:u w:val="single"/>
          <w:lang w:eastAsia="hr-HR"/>
        </w:rPr>
      </w:pPr>
      <w:r w:rsidRPr="008A655C">
        <w:rPr>
          <w:rFonts w:ascii="Times New Roman" w:eastAsia="Calibri" w:hAnsi="Times New Roman" w:cs="Times New Roman"/>
          <w:iCs/>
          <w:sz w:val="24"/>
          <w:szCs w:val="24"/>
          <w:u w:val="single"/>
          <w:lang w:eastAsia="hr-HR"/>
        </w:rPr>
        <w:t>Zakon o izmjenama i dopunama Zakona o sprječavanju pranja novca i financiranja terorizma</w:t>
      </w:r>
    </w:p>
    <w:p w14:paraId="65F176ED" w14:textId="77777777" w:rsidR="00867204" w:rsidRDefault="00867204" w:rsidP="008A655C">
      <w:pPr>
        <w:shd w:val="clear" w:color="auto" w:fill="FFFFFF" w:themeFill="background1"/>
        <w:spacing w:after="60" w:line="240" w:lineRule="auto"/>
        <w:jc w:val="both"/>
        <w:rPr>
          <w:rFonts w:ascii="Times New Roman" w:eastAsia="Calibri" w:hAnsi="Times New Roman" w:cs="Times New Roman"/>
          <w:iCs/>
          <w:sz w:val="24"/>
          <w:szCs w:val="24"/>
          <w:lang w:eastAsia="hr-HR"/>
        </w:rPr>
      </w:pPr>
    </w:p>
    <w:p w14:paraId="04E6C96C" w14:textId="517C8ED5" w:rsidR="008A655C" w:rsidRPr="008A655C" w:rsidRDefault="008A655C" w:rsidP="008A655C">
      <w:pPr>
        <w:shd w:val="clear" w:color="auto" w:fill="FFFFFF" w:themeFill="background1"/>
        <w:spacing w:after="60" w:line="240" w:lineRule="auto"/>
        <w:jc w:val="both"/>
        <w:rPr>
          <w:rFonts w:ascii="Times New Roman" w:eastAsia="Calibri" w:hAnsi="Times New Roman" w:cs="Times New Roman"/>
          <w:iCs/>
          <w:sz w:val="24"/>
          <w:szCs w:val="24"/>
          <w:lang w:eastAsia="hr-HR"/>
        </w:rPr>
      </w:pPr>
      <w:r w:rsidRPr="008A655C">
        <w:rPr>
          <w:rFonts w:ascii="Times New Roman" w:eastAsia="Calibri" w:hAnsi="Times New Roman" w:cs="Times New Roman"/>
          <w:iCs/>
          <w:sz w:val="24"/>
          <w:szCs w:val="24"/>
          <w:lang w:eastAsia="hr-HR"/>
        </w:rPr>
        <w:t>S ciljem ispunjenja preventivnih mjera iz Akcijskog plana za jačanje učinkovitosti hrvatskog sustava sprječavanja pranja novca i financiranja terorizma („Narodne novine“ broj 56/22) te zbog uvođenja eura kao službene valute u Republici Hrvatskoj, 20. prosinca 2022. donese</w:t>
      </w:r>
      <w:r w:rsidR="00955187">
        <w:rPr>
          <w:rFonts w:ascii="Times New Roman" w:eastAsia="Calibri" w:hAnsi="Times New Roman" w:cs="Times New Roman"/>
          <w:iCs/>
          <w:sz w:val="24"/>
          <w:szCs w:val="24"/>
          <w:lang w:eastAsia="hr-HR"/>
        </w:rPr>
        <w:t>n</w:t>
      </w:r>
      <w:r w:rsidRPr="008A655C">
        <w:rPr>
          <w:rFonts w:ascii="Times New Roman" w:eastAsia="Calibri" w:hAnsi="Times New Roman" w:cs="Times New Roman"/>
          <w:iCs/>
          <w:sz w:val="24"/>
          <w:szCs w:val="24"/>
          <w:lang w:eastAsia="hr-HR"/>
        </w:rPr>
        <w:t xml:space="preserve"> je Zakon o izmjenama i dopunama Zakona o sprječavanju pranja novca i financiranja terorizma </w:t>
      </w:r>
      <w:r w:rsidRPr="008A655C">
        <w:rPr>
          <w:rFonts w:ascii="Times New Roman" w:eastAsia="Calibri" w:hAnsi="Times New Roman" w:cs="Times New Roman"/>
          <w:iCs/>
          <w:sz w:val="24"/>
          <w:szCs w:val="24"/>
          <w:lang w:eastAsia="hr-HR"/>
        </w:rPr>
        <w:lastRenderedPageBreak/>
        <w:t xml:space="preserve">koji je stupio na snagu 1. siječnja 2023. Kroz usklađivanja s preporučenim mjerama MONEYVAL-a iz Izvješća o 5. krugu evaluacije Republike Hrvatske, koje su sadržane u Akcijskom planu, Zakonom se: </w:t>
      </w:r>
    </w:p>
    <w:p w14:paraId="24C9DB59" w14:textId="77777777" w:rsidR="008A655C" w:rsidRPr="008A655C" w:rsidRDefault="008A655C" w:rsidP="008A655C">
      <w:pPr>
        <w:numPr>
          <w:ilvl w:val="0"/>
          <w:numId w:val="22"/>
        </w:numPr>
        <w:shd w:val="clear" w:color="auto" w:fill="FFFFFF" w:themeFill="background1"/>
        <w:spacing w:after="60" w:line="240" w:lineRule="auto"/>
        <w:contextualSpacing/>
        <w:jc w:val="both"/>
        <w:rPr>
          <w:rFonts w:ascii="Times New Roman" w:eastAsia="Calibri" w:hAnsi="Times New Roman" w:cs="Times New Roman"/>
          <w:iCs/>
          <w:sz w:val="24"/>
          <w:szCs w:val="24"/>
          <w:lang w:eastAsia="hr-HR"/>
        </w:rPr>
      </w:pPr>
      <w:r w:rsidRPr="008A655C">
        <w:rPr>
          <w:rFonts w:ascii="Times New Roman" w:eastAsia="Calibri" w:hAnsi="Times New Roman" w:cs="Times New Roman"/>
          <w:iCs/>
          <w:sz w:val="24"/>
          <w:szCs w:val="24"/>
          <w:lang w:eastAsia="hr-HR"/>
        </w:rPr>
        <w:t>propisuje obveza upisa pružatelja usluga virtualne imovine u registar pružatelja usluga virtualne imovine</w:t>
      </w:r>
    </w:p>
    <w:p w14:paraId="6EF0B820" w14:textId="77777777" w:rsidR="008A655C" w:rsidRPr="008A655C" w:rsidRDefault="008A655C" w:rsidP="008A655C">
      <w:pPr>
        <w:numPr>
          <w:ilvl w:val="0"/>
          <w:numId w:val="22"/>
        </w:numPr>
        <w:shd w:val="clear" w:color="auto" w:fill="FFFFFF" w:themeFill="background1"/>
        <w:spacing w:after="60" w:line="240" w:lineRule="auto"/>
        <w:contextualSpacing/>
        <w:jc w:val="both"/>
        <w:rPr>
          <w:rFonts w:ascii="Times New Roman" w:eastAsia="Calibri" w:hAnsi="Times New Roman" w:cs="Times New Roman"/>
          <w:iCs/>
          <w:sz w:val="24"/>
          <w:szCs w:val="24"/>
          <w:lang w:eastAsia="hr-HR"/>
        </w:rPr>
      </w:pPr>
      <w:r w:rsidRPr="008A655C">
        <w:rPr>
          <w:rFonts w:ascii="Times New Roman" w:eastAsia="Calibri" w:hAnsi="Times New Roman" w:cs="Times New Roman"/>
          <w:iCs/>
          <w:sz w:val="24"/>
          <w:szCs w:val="24"/>
          <w:lang w:eastAsia="hr-HR"/>
        </w:rPr>
        <w:t>propisuje obveza registracije i vođenje registra pravnih i fizičkih osoba koje se bave djelatnošću pružanja usluga povezanih s trustovima i trgovačkim društvima te prometom plemenitih metala i dragog kamenja</w:t>
      </w:r>
    </w:p>
    <w:p w14:paraId="23D498D1" w14:textId="77777777" w:rsidR="008A655C" w:rsidRPr="008A655C" w:rsidRDefault="008A655C" w:rsidP="008A655C">
      <w:pPr>
        <w:numPr>
          <w:ilvl w:val="0"/>
          <w:numId w:val="22"/>
        </w:numPr>
        <w:shd w:val="clear" w:color="auto" w:fill="FFFFFF" w:themeFill="background1"/>
        <w:spacing w:after="60" w:line="240" w:lineRule="auto"/>
        <w:contextualSpacing/>
        <w:jc w:val="both"/>
        <w:rPr>
          <w:rFonts w:ascii="Times New Roman" w:eastAsia="Calibri" w:hAnsi="Times New Roman" w:cs="Times New Roman"/>
          <w:iCs/>
          <w:sz w:val="24"/>
          <w:szCs w:val="24"/>
          <w:lang w:eastAsia="hr-HR"/>
        </w:rPr>
      </w:pPr>
      <w:r w:rsidRPr="008A655C">
        <w:rPr>
          <w:rFonts w:ascii="Times New Roman" w:eastAsia="Calibri" w:hAnsi="Times New Roman" w:cs="Times New Roman"/>
          <w:iCs/>
          <w:sz w:val="24"/>
          <w:szCs w:val="24"/>
          <w:lang w:eastAsia="hr-HR"/>
        </w:rPr>
        <w:t>propisuje obveza prikupiti informacije o ovlastima koje reguliraju i obvezuju pravne osobe ili pravne aranžmane – osnivački akt društva</w:t>
      </w:r>
    </w:p>
    <w:p w14:paraId="2DF740B3" w14:textId="77777777" w:rsidR="008A655C" w:rsidRPr="008A655C" w:rsidRDefault="008A655C" w:rsidP="008A655C">
      <w:pPr>
        <w:numPr>
          <w:ilvl w:val="0"/>
          <w:numId w:val="22"/>
        </w:numPr>
        <w:shd w:val="clear" w:color="auto" w:fill="FFFFFF" w:themeFill="background1"/>
        <w:spacing w:after="60" w:line="240" w:lineRule="auto"/>
        <w:contextualSpacing/>
        <w:jc w:val="both"/>
        <w:rPr>
          <w:rFonts w:ascii="Times New Roman" w:eastAsia="Calibri" w:hAnsi="Times New Roman" w:cs="Times New Roman"/>
          <w:iCs/>
          <w:sz w:val="24"/>
          <w:szCs w:val="24"/>
          <w:lang w:eastAsia="hr-HR"/>
        </w:rPr>
      </w:pPr>
      <w:r w:rsidRPr="008A655C">
        <w:rPr>
          <w:rFonts w:ascii="Times New Roman" w:eastAsia="Calibri" w:hAnsi="Times New Roman" w:cs="Times New Roman"/>
          <w:iCs/>
          <w:sz w:val="24"/>
          <w:szCs w:val="24"/>
          <w:lang w:eastAsia="hr-HR"/>
        </w:rPr>
        <w:t>proširuje obveza prijavljivanja sumnjivih transakcija, osoba i sredstava Uredu za sprječavanje pranja novca</w:t>
      </w:r>
    </w:p>
    <w:p w14:paraId="0179E467" w14:textId="77777777" w:rsidR="008A655C" w:rsidRPr="008A655C" w:rsidRDefault="008A655C" w:rsidP="008A655C">
      <w:pPr>
        <w:numPr>
          <w:ilvl w:val="0"/>
          <w:numId w:val="22"/>
        </w:numPr>
        <w:shd w:val="clear" w:color="auto" w:fill="FFFFFF" w:themeFill="background1"/>
        <w:spacing w:after="60" w:line="240" w:lineRule="auto"/>
        <w:contextualSpacing/>
        <w:jc w:val="both"/>
        <w:rPr>
          <w:rFonts w:ascii="Times New Roman" w:eastAsia="Calibri" w:hAnsi="Times New Roman" w:cs="Times New Roman"/>
          <w:iCs/>
          <w:sz w:val="24"/>
          <w:szCs w:val="24"/>
          <w:lang w:eastAsia="hr-HR"/>
        </w:rPr>
      </w:pPr>
      <w:r w:rsidRPr="008A655C">
        <w:rPr>
          <w:rFonts w:ascii="Times New Roman" w:eastAsia="Calibri" w:hAnsi="Times New Roman" w:cs="Times New Roman"/>
          <w:iCs/>
          <w:sz w:val="24"/>
          <w:szCs w:val="24"/>
          <w:lang w:eastAsia="hr-HR"/>
        </w:rPr>
        <w:t>propisuje suradnja s europskim nadzornim tijelima u pogledu virtualne imovine</w:t>
      </w:r>
    </w:p>
    <w:p w14:paraId="3C3C00EF" w14:textId="77777777" w:rsidR="008A655C" w:rsidRPr="008A655C" w:rsidRDefault="008A655C" w:rsidP="008A655C">
      <w:pPr>
        <w:numPr>
          <w:ilvl w:val="0"/>
          <w:numId w:val="23"/>
        </w:numPr>
        <w:shd w:val="clear" w:color="auto" w:fill="FFFFFF" w:themeFill="background1"/>
        <w:spacing w:after="60" w:line="240" w:lineRule="auto"/>
        <w:contextualSpacing/>
        <w:jc w:val="both"/>
        <w:rPr>
          <w:rFonts w:ascii="Times New Roman" w:eastAsia="Calibri" w:hAnsi="Times New Roman" w:cs="Times New Roman"/>
          <w:iCs/>
          <w:sz w:val="24"/>
          <w:szCs w:val="24"/>
          <w:lang w:eastAsia="hr-HR"/>
        </w:rPr>
      </w:pPr>
      <w:r w:rsidRPr="008A655C">
        <w:rPr>
          <w:rFonts w:ascii="Times New Roman" w:eastAsia="Calibri" w:hAnsi="Times New Roman" w:cs="Times New Roman"/>
          <w:iCs/>
          <w:sz w:val="24"/>
          <w:szCs w:val="24"/>
          <w:lang w:eastAsia="hr-HR"/>
        </w:rPr>
        <w:t>propisuje suradnja s nadzornim tijelima država članica u području nadzora obveznika iz nefinancijskog sektora</w:t>
      </w:r>
    </w:p>
    <w:p w14:paraId="64FCAF88" w14:textId="77777777" w:rsidR="008A655C" w:rsidRPr="008A655C" w:rsidRDefault="008A655C" w:rsidP="008A655C">
      <w:pPr>
        <w:numPr>
          <w:ilvl w:val="0"/>
          <w:numId w:val="23"/>
        </w:numPr>
        <w:shd w:val="clear" w:color="auto" w:fill="FFFFFF" w:themeFill="background1"/>
        <w:spacing w:after="60" w:line="240" w:lineRule="auto"/>
        <w:contextualSpacing/>
        <w:jc w:val="both"/>
        <w:rPr>
          <w:rFonts w:ascii="Times New Roman" w:eastAsia="Calibri" w:hAnsi="Times New Roman" w:cs="Times New Roman"/>
          <w:iCs/>
          <w:sz w:val="24"/>
          <w:szCs w:val="24"/>
          <w:lang w:eastAsia="hr-HR"/>
        </w:rPr>
      </w:pPr>
      <w:r w:rsidRPr="008A655C">
        <w:rPr>
          <w:rFonts w:ascii="Times New Roman" w:eastAsia="Calibri" w:hAnsi="Times New Roman" w:cs="Times New Roman"/>
          <w:iCs/>
          <w:sz w:val="24"/>
          <w:szCs w:val="24"/>
          <w:lang w:eastAsia="hr-HR"/>
        </w:rPr>
        <w:t xml:space="preserve">smanjuje prag obavještavanja o gotovinskim transakcijama Ureda za sprječavanje pranja novca sa 200.000,00 kuna na 10.000,00 eura. </w:t>
      </w:r>
    </w:p>
    <w:p w14:paraId="4CE6F07D" w14:textId="77777777" w:rsidR="008A655C" w:rsidRPr="008A655C" w:rsidRDefault="008A655C" w:rsidP="008A655C">
      <w:pPr>
        <w:shd w:val="clear" w:color="auto" w:fill="FFFFFF" w:themeFill="background1"/>
        <w:spacing w:after="60" w:line="240" w:lineRule="auto"/>
        <w:jc w:val="both"/>
        <w:rPr>
          <w:rFonts w:ascii="Times New Roman" w:eastAsia="Times New Roman" w:hAnsi="Times New Roman" w:cs="Times New Roman"/>
          <w:sz w:val="24"/>
          <w:szCs w:val="24"/>
          <w:lang w:eastAsia="hr-HR"/>
        </w:rPr>
      </w:pPr>
    </w:p>
    <w:p w14:paraId="52A4BD75" w14:textId="77777777" w:rsidR="008A655C" w:rsidRPr="008A655C" w:rsidRDefault="008A655C" w:rsidP="008A655C">
      <w:pPr>
        <w:shd w:val="clear" w:color="auto" w:fill="FFFFFF" w:themeFill="background1"/>
        <w:spacing w:after="60" w:line="240" w:lineRule="auto"/>
        <w:jc w:val="both"/>
        <w:rPr>
          <w:rFonts w:ascii="Times New Roman" w:eastAsia="Times New Roman" w:hAnsi="Times New Roman" w:cs="Times New Roman"/>
          <w:sz w:val="24"/>
          <w:szCs w:val="24"/>
          <w:lang w:eastAsia="hr-HR"/>
        </w:rPr>
      </w:pPr>
      <w:r w:rsidRPr="008A655C">
        <w:rPr>
          <w:rFonts w:ascii="Times New Roman" w:eastAsia="Times New Roman" w:hAnsi="Times New Roman" w:cs="Times New Roman"/>
          <w:sz w:val="24"/>
          <w:szCs w:val="24"/>
          <w:lang w:eastAsia="hr-HR"/>
        </w:rPr>
        <w:t>Uz Zakon o izmjenama i dopunama Zakona o sprječavanju pranja novca i financiranja terorizma donesen je:</w:t>
      </w:r>
    </w:p>
    <w:p w14:paraId="15050760" w14:textId="77777777" w:rsidR="008A655C" w:rsidRPr="008A655C" w:rsidRDefault="008A655C" w:rsidP="008A655C">
      <w:pPr>
        <w:numPr>
          <w:ilvl w:val="0"/>
          <w:numId w:val="26"/>
        </w:numPr>
        <w:contextualSpacing/>
        <w:jc w:val="both"/>
        <w:rPr>
          <w:rFonts w:ascii="Times New Roman" w:eastAsia="Times New Roman" w:hAnsi="Times New Roman" w:cs="Times New Roman"/>
          <w:sz w:val="24"/>
          <w:szCs w:val="24"/>
          <w:lang w:eastAsia="hr-HR"/>
        </w:rPr>
      </w:pPr>
      <w:r w:rsidRPr="008A655C">
        <w:rPr>
          <w:rFonts w:ascii="Times New Roman" w:eastAsia="Times New Roman" w:hAnsi="Times New Roman" w:cs="Times New Roman"/>
          <w:sz w:val="24"/>
          <w:szCs w:val="24"/>
          <w:lang w:eastAsia="hr-HR"/>
        </w:rPr>
        <w:t>Pravilnika o izmjenama Pravilnika o obavještavanju Ureda za sprječavanje pranja novca o gotovinskoj transakciji u vrijednosti od 200.000,00 kuna i većoj</w:t>
      </w:r>
    </w:p>
    <w:p w14:paraId="7CF8A77E" w14:textId="77777777" w:rsidR="008A655C" w:rsidRPr="008A655C" w:rsidRDefault="008A655C" w:rsidP="008A655C">
      <w:pPr>
        <w:numPr>
          <w:ilvl w:val="0"/>
          <w:numId w:val="26"/>
        </w:numPr>
        <w:contextualSpacing/>
        <w:jc w:val="both"/>
        <w:rPr>
          <w:rFonts w:ascii="Times New Roman" w:eastAsia="Times New Roman" w:hAnsi="Times New Roman" w:cs="Times New Roman"/>
          <w:sz w:val="24"/>
          <w:szCs w:val="24"/>
          <w:lang w:eastAsia="hr-HR"/>
        </w:rPr>
      </w:pPr>
      <w:r w:rsidRPr="008A655C">
        <w:rPr>
          <w:rFonts w:ascii="Times New Roman" w:eastAsia="Times New Roman" w:hAnsi="Times New Roman" w:cs="Times New Roman"/>
          <w:sz w:val="24"/>
          <w:szCs w:val="24"/>
          <w:lang w:eastAsia="hr-HR"/>
        </w:rPr>
        <w:t>Pravilnika o izmjenama Pravilnika o obavještavanju Ureda za sprječavanje pranja novca o sumnjivim transakcijama, sredstvima i osobama.</w:t>
      </w:r>
    </w:p>
    <w:p w14:paraId="6A3E80C3" w14:textId="77777777" w:rsidR="008A655C" w:rsidRPr="008A655C" w:rsidRDefault="008A655C" w:rsidP="008A655C">
      <w:pPr>
        <w:jc w:val="both"/>
        <w:rPr>
          <w:rFonts w:ascii="Times New Roman" w:eastAsia="Times New Roman" w:hAnsi="Times New Roman" w:cs="Times New Roman"/>
          <w:sz w:val="24"/>
          <w:szCs w:val="24"/>
          <w:lang w:eastAsia="hr-HR"/>
        </w:rPr>
      </w:pPr>
    </w:p>
    <w:p w14:paraId="7ADE9992" w14:textId="77777777" w:rsidR="008A655C" w:rsidRPr="008A655C" w:rsidRDefault="008A655C" w:rsidP="008A655C">
      <w:pPr>
        <w:numPr>
          <w:ilvl w:val="0"/>
          <w:numId w:val="25"/>
        </w:numPr>
        <w:contextualSpacing/>
        <w:jc w:val="both"/>
        <w:rPr>
          <w:rFonts w:ascii="Times New Roman" w:eastAsia="Times New Roman" w:hAnsi="Times New Roman" w:cs="Times New Roman"/>
          <w:sz w:val="24"/>
          <w:szCs w:val="24"/>
          <w:u w:val="single"/>
          <w:lang w:eastAsia="hr-HR"/>
        </w:rPr>
      </w:pPr>
      <w:r w:rsidRPr="008A655C">
        <w:rPr>
          <w:rFonts w:ascii="Times New Roman" w:eastAsia="Times New Roman" w:hAnsi="Times New Roman" w:cs="Times New Roman"/>
          <w:sz w:val="24"/>
          <w:szCs w:val="24"/>
          <w:u w:val="single"/>
          <w:lang w:eastAsia="hr-HR"/>
        </w:rPr>
        <w:t xml:space="preserve">Zakon o olakšavanju uporabe financijskih i drugih informacija u svrhu sprječavanja, otkrivanja, istraživanja ili progona teških kaznenih djela </w:t>
      </w:r>
    </w:p>
    <w:p w14:paraId="560EB682" w14:textId="77777777" w:rsidR="000041DC" w:rsidRDefault="000041DC" w:rsidP="008A655C">
      <w:pPr>
        <w:jc w:val="both"/>
        <w:rPr>
          <w:rFonts w:ascii="Times New Roman" w:eastAsia="Times New Roman" w:hAnsi="Times New Roman" w:cs="Times New Roman"/>
          <w:sz w:val="24"/>
          <w:szCs w:val="24"/>
          <w:lang w:eastAsia="hr-HR"/>
        </w:rPr>
      </w:pPr>
    </w:p>
    <w:p w14:paraId="48B662FC" w14:textId="63AF459E" w:rsidR="008A655C" w:rsidRPr="008A655C" w:rsidRDefault="008A655C" w:rsidP="008A655C">
      <w:pPr>
        <w:jc w:val="both"/>
        <w:rPr>
          <w:rFonts w:ascii="Times New Roman" w:eastAsia="Times New Roman" w:hAnsi="Times New Roman" w:cs="Times New Roman"/>
          <w:sz w:val="24"/>
          <w:szCs w:val="24"/>
          <w:lang w:eastAsia="hr-HR"/>
        </w:rPr>
      </w:pPr>
      <w:r w:rsidRPr="008A655C">
        <w:rPr>
          <w:rFonts w:ascii="Times New Roman" w:eastAsia="Times New Roman" w:hAnsi="Times New Roman" w:cs="Times New Roman"/>
          <w:sz w:val="24"/>
          <w:szCs w:val="24"/>
          <w:lang w:eastAsia="hr-HR"/>
        </w:rPr>
        <w:t xml:space="preserve">Zakon o olakšavanju uporabe financijskih i drugih informacija u svrhu sprječavanja, otkrivanja, istraživanja ili progona teških kaznenih djela se u pravni poredak Republike Hrvatske prenijela Direktiva (EU) 2019/1153 Europskog parlamenta i Vijeća od 20. lipnja 2019. o utvrđivanju pravila kojima se olakšava uporaba financijskih i drugih informacija u svrhu sprečavanja, otkrivanja, istrage ili progona određenih kaznenih djela i stavljanju izvan snage Odluke Vijeća 2000/642/PUP (SL L 186, 11. 7. 2019., u daljnjem tekstu: Direktiva (EU) 2019/1153). </w:t>
      </w:r>
    </w:p>
    <w:p w14:paraId="18003B96" w14:textId="77777777" w:rsidR="008A655C" w:rsidRPr="008A655C" w:rsidRDefault="008A655C" w:rsidP="008A655C">
      <w:pPr>
        <w:jc w:val="both"/>
        <w:rPr>
          <w:rFonts w:ascii="Times New Roman" w:eastAsia="Times New Roman" w:hAnsi="Times New Roman" w:cs="Times New Roman"/>
          <w:sz w:val="24"/>
          <w:szCs w:val="24"/>
          <w:lang w:eastAsia="hr-HR"/>
        </w:rPr>
      </w:pPr>
      <w:r w:rsidRPr="008A655C">
        <w:rPr>
          <w:rFonts w:ascii="Times New Roman" w:eastAsia="Times New Roman" w:hAnsi="Times New Roman" w:cs="Times New Roman"/>
          <w:sz w:val="24"/>
          <w:szCs w:val="24"/>
          <w:lang w:eastAsia="hr-HR"/>
        </w:rPr>
        <w:t xml:space="preserve">Zakonom se: </w:t>
      </w:r>
    </w:p>
    <w:p w14:paraId="5BFA9B65" w14:textId="77777777" w:rsidR="008A655C" w:rsidRPr="008A655C" w:rsidRDefault="008A655C" w:rsidP="008A655C">
      <w:pPr>
        <w:numPr>
          <w:ilvl w:val="0"/>
          <w:numId w:val="21"/>
        </w:numPr>
        <w:contextualSpacing/>
        <w:jc w:val="both"/>
        <w:rPr>
          <w:rFonts w:ascii="Times New Roman" w:eastAsia="Times New Roman" w:hAnsi="Times New Roman" w:cs="Times New Roman"/>
          <w:sz w:val="24"/>
          <w:szCs w:val="24"/>
          <w:lang w:eastAsia="hr-HR"/>
        </w:rPr>
      </w:pPr>
      <w:r w:rsidRPr="008A655C">
        <w:rPr>
          <w:rFonts w:ascii="Times New Roman" w:eastAsia="Times New Roman" w:hAnsi="Times New Roman" w:cs="Times New Roman"/>
          <w:sz w:val="24"/>
          <w:szCs w:val="24"/>
          <w:lang w:eastAsia="hr-HR"/>
        </w:rPr>
        <w:t>određuju su nadležna tijela za sprečavanje, otkrivanje, istragu ili progon teških kaznenih tijela (Ministarstvo unutarnjih poslova – ustrojstvena jedinica nadležna za suzbijanje i otkrivanje kaznenih djela gospodarskog kriminaliteta i korupcije, Ministarstvo financija, Porezna uprava, Ministarstvo financija, Carinska uprava i državno odvjetništvo)</w:t>
      </w:r>
    </w:p>
    <w:p w14:paraId="38284A7B" w14:textId="77777777" w:rsidR="008A655C" w:rsidRPr="008A655C" w:rsidRDefault="008A655C" w:rsidP="008A655C">
      <w:pPr>
        <w:numPr>
          <w:ilvl w:val="0"/>
          <w:numId w:val="21"/>
        </w:numPr>
        <w:contextualSpacing/>
        <w:jc w:val="both"/>
        <w:rPr>
          <w:rFonts w:ascii="Times New Roman" w:eastAsia="Times New Roman" w:hAnsi="Times New Roman" w:cs="Times New Roman"/>
          <w:sz w:val="24"/>
          <w:szCs w:val="24"/>
          <w:lang w:eastAsia="hr-HR"/>
        </w:rPr>
      </w:pPr>
      <w:r w:rsidRPr="008A655C">
        <w:rPr>
          <w:rFonts w:ascii="Times New Roman" w:eastAsia="Times New Roman" w:hAnsi="Times New Roman" w:cs="Times New Roman"/>
          <w:sz w:val="24"/>
          <w:szCs w:val="24"/>
          <w:lang w:eastAsia="hr-HR"/>
        </w:rPr>
        <w:t xml:space="preserve">uređuju se ovlasti izravnog (ograničenog) pristupa i pretraživanja informacijama o bankovnim računima koje se nalaze u Jedinstvenom registru računa kojega vodi Financijska agencija. Dakle u skladu s navedenim omogućuje se pristup ograničenom skupu informacija koje su nužne za identifikaciju vlasnika bankovnog računa, računa </w:t>
      </w:r>
      <w:r w:rsidRPr="008A655C">
        <w:rPr>
          <w:rFonts w:ascii="Times New Roman" w:eastAsia="Times New Roman" w:hAnsi="Times New Roman" w:cs="Times New Roman"/>
          <w:sz w:val="24"/>
          <w:szCs w:val="24"/>
          <w:lang w:eastAsia="hr-HR"/>
        </w:rPr>
        <w:lastRenderedPageBreak/>
        <w:t xml:space="preserve">za plaćanje, sefa kako bi se utvrdilo posjeduje li osoba obuhvaćena istragom bankovni račun i u kojoj banci (npr. ime i prezime vlasnika računa, broj računa, IBAN). </w:t>
      </w:r>
    </w:p>
    <w:p w14:paraId="7CBE33E3" w14:textId="77777777" w:rsidR="008A655C" w:rsidRPr="008A655C" w:rsidRDefault="008A655C" w:rsidP="008A655C">
      <w:pPr>
        <w:numPr>
          <w:ilvl w:val="0"/>
          <w:numId w:val="21"/>
        </w:numPr>
        <w:contextualSpacing/>
        <w:jc w:val="both"/>
        <w:rPr>
          <w:rFonts w:ascii="Times New Roman" w:eastAsia="Times New Roman" w:hAnsi="Times New Roman" w:cs="Times New Roman"/>
          <w:sz w:val="24"/>
          <w:szCs w:val="24"/>
          <w:lang w:eastAsia="hr-HR"/>
        </w:rPr>
      </w:pPr>
      <w:r w:rsidRPr="008A655C">
        <w:rPr>
          <w:rFonts w:ascii="Times New Roman" w:eastAsia="Times New Roman" w:hAnsi="Times New Roman" w:cs="Times New Roman"/>
          <w:sz w:val="24"/>
          <w:szCs w:val="24"/>
          <w:lang w:eastAsia="hr-HR"/>
        </w:rPr>
        <w:t xml:space="preserve">zaštitne mjere i ograničenja koja se primjenjuju prilikom pristupa informacijama o bankovnim računima i njihova pretraživanja korištenjem vjerodajnice visoke razine sigurnosti </w:t>
      </w:r>
    </w:p>
    <w:p w14:paraId="27D97830" w14:textId="77777777" w:rsidR="008A655C" w:rsidRPr="008A655C" w:rsidRDefault="008A655C" w:rsidP="008A655C">
      <w:pPr>
        <w:numPr>
          <w:ilvl w:val="0"/>
          <w:numId w:val="21"/>
        </w:numPr>
        <w:contextualSpacing/>
        <w:jc w:val="both"/>
        <w:rPr>
          <w:rFonts w:ascii="Times New Roman" w:eastAsia="Times New Roman" w:hAnsi="Times New Roman" w:cs="Times New Roman"/>
          <w:sz w:val="24"/>
          <w:szCs w:val="24"/>
          <w:lang w:eastAsia="hr-HR"/>
        </w:rPr>
      </w:pPr>
      <w:r w:rsidRPr="008A655C">
        <w:rPr>
          <w:rFonts w:ascii="Times New Roman" w:eastAsia="Times New Roman" w:hAnsi="Times New Roman" w:cs="Times New Roman"/>
          <w:sz w:val="24"/>
          <w:szCs w:val="24"/>
          <w:lang w:eastAsia="hr-HR"/>
        </w:rPr>
        <w:t>zaštitne mjere i ograničenja uključuju, ograničenja u pogledu nadležnih tijela koja imaju ovlasti za pristup informacijama o bankovnim računima i njihovo pretraživanje, svrha u koje se pristup i pretraživanje mogu provoditi, vrsta informacija koje su dostupne i koje se mogu pretraživati, zahtjeve koji se primjenjuju na službene osobe nadležnih tijela, sigurnosti podataka te evidencije pristupa i pretraživanja tih podataka</w:t>
      </w:r>
    </w:p>
    <w:p w14:paraId="5CE4927E" w14:textId="742FDCA5" w:rsidR="008A655C" w:rsidRDefault="008A655C" w:rsidP="008A655C">
      <w:pPr>
        <w:numPr>
          <w:ilvl w:val="0"/>
          <w:numId w:val="21"/>
        </w:numPr>
        <w:contextualSpacing/>
        <w:jc w:val="both"/>
        <w:rPr>
          <w:rFonts w:ascii="Times New Roman" w:eastAsia="Times New Roman" w:hAnsi="Times New Roman" w:cs="Times New Roman"/>
          <w:sz w:val="24"/>
          <w:szCs w:val="24"/>
          <w:lang w:eastAsia="hr-HR"/>
        </w:rPr>
      </w:pPr>
      <w:r w:rsidRPr="008A655C">
        <w:rPr>
          <w:rFonts w:ascii="Times New Roman" w:eastAsia="Times New Roman" w:hAnsi="Times New Roman" w:cs="Times New Roman"/>
          <w:sz w:val="24"/>
          <w:szCs w:val="24"/>
          <w:lang w:eastAsia="hr-HR"/>
        </w:rPr>
        <w:t>obrada osobnih podataka koju provode nadležna tijela u vezi s mogućnostima pristupa i pretraživanja informacijama o bankovnim računima provode se u skladu s odredbama zakona kojim se uređuju pravila o zaštiti fizičkih osoba u vezi s obradom i razmjenom osobnih podataka od strane nadležnih tijela u svrhu sprječavanja, istraživanja, otkrivanja ili progona kaznenih djela ili izvršavanja kaznenih sankcija i zakona, kojima se uređuju načela obrade osobnih podataka te prava ispitanika.</w:t>
      </w:r>
    </w:p>
    <w:p w14:paraId="6B308985" w14:textId="77777777" w:rsidR="008A655C" w:rsidRPr="008A655C" w:rsidRDefault="008A655C" w:rsidP="008A655C">
      <w:pPr>
        <w:ind w:left="720"/>
        <w:contextualSpacing/>
        <w:jc w:val="both"/>
        <w:rPr>
          <w:rFonts w:ascii="Times New Roman" w:eastAsia="Times New Roman" w:hAnsi="Times New Roman" w:cs="Times New Roman"/>
          <w:sz w:val="24"/>
          <w:szCs w:val="24"/>
          <w:lang w:eastAsia="hr-HR"/>
        </w:rPr>
      </w:pPr>
    </w:p>
    <w:p w14:paraId="4C31065F" w14:textId="2BBBFD37" w:rsidR="004665E0" w:rsidRPr="006A6FE5" w:rsidRDefault="00015234" w:rsidP="00015234">
      <w:r>
        <w:br w:type="page"/>
      </w:r>
    </w:p>
    <w:p w14:paraId="3EDBEAC9" w14:textId="418AC961" w:rsidR="004665E0" w:rsidRPr="006A6FE5" w:rsidRDefault="004665E0" w:rsidP="008A3947">
      <w:pPr>
        <w:pStyle w:val="Naslov2"/>
      </w:pPr>
      <w:bookmarkStart w:id="31" w:name="_Toc153353431"/>
      <w:r w:rsidRPr="006A6FE5">
        <w:lastRenderedPageBreak/>
        <w:t>MEĐUINSTITUCIONALNA I MEĐUNARODNA SURADNJA UREDA</w:t>
      </w:r>
      <w:bookmarkEnd w:id="29"/>
      <w:bookmarkEnd w:id="31"/>
    </w:p>
    <w:p w14:paraId="15CAEE93" w14:textId="77777777" w:rsidR="004665E0" w:rsidRPr="006A6FE5" w:rsidRDefault="004665E0" w:rsidP="004665E0">
      <w:pPr>
        <w:rPr>
          <w:lang w:eastAsia="hr-HR"/>
        </w:rPr>
      </w:pPr>
    </w:p>
    <w:p w14:paraId="252F30CE" w14:textId="037E3D0D" w:rsidR="004665E0" w:rsidRPr="006A6FE5" w:rsidRDefault="00015234" w:rsidP="003C57AF">
      <w:pPr>
        <w:pStyle w:val="Naslov3"/>
      </w:pPr>
      <w:bookmarkStart w:id="32" w:name="_Toc74662624"/>
      <w:bookmarkStart w:id="33" w:name="_Toc153353432"/>
      <w:r>
        <w:t>5.1.</w:t>
      </w:r>
      <w:r>
        <w:tab/>
      </w:r>
      <w:r w:rsidR="004665E0" w:rsidRPr="006A6FE5">
        <w:t>Međuinstitucionalna suradnja Ureda</w:t>
      </w:r>
      <w:bookmarkEnd w:id="32"/>
      <w:bookmarkEnd w:id="33"/>
    </w:p>
    <w:p w14:paraId="32836571" w14:textId="77777777" w:rsidR="00FC355A" w:rsidRDefault="00FC355A" w:rsidP="008A655C">
      <w:pPr>
        <w:spacing w:after="0"/>
        <w:jc w:val="both"/>
        <w:rPr>
          <w:rFonts w:ascii="Times New Roman" w:eastAsia="Calibri" w:hAnsi="Times New Roman" w:cs="Times New Roman"/>
          <w:iCs/>
          <w:sz w:val="24"/>
          <w:szCs w:val="24"/>
          <w:lang w:eastAsia="hr-HR"/>
        </w:rPr>
      </w:pPr>
    </w:p>
    <w:p w14:paraId="14108135" w14:textId="12A3D732" w:rsidR="00C37EEA" w:rsidRPr="00C37EEA" w:rsidRDefault="004665E0" w:rsidP="00C37EEA">
      <w:pPr>
        <w:jc w:val="both"/>
        <w:rPr>
          <w:rFonts w:ascii="Times New Roman" w:eastAsia="Calibri" w:hAnsi="Times New Roman" w:cs="Times New Roman"/>
          <w:iCs/>
          <w:sz w:val="24"/>
          <w:szCs w:val="24"/>
          <w:lang w:eastAsia="hr-HR"/>
        </w:rPr>
      </w:pPr>
      <w:r w:rsidRPr="006A6FE5">
        <w:rPr>
          <w:rFonts w:ascii="Times New Roman" w:eastAsia="Calibri" w:hAnsi="Times New Roman" w:cs="Times New Roman"/>
          <w:iCs/>
          <w:sz w:val="24"/>
          <w:szCs w:val="24"/>
          <w:lang w:eastAsia="hr-HR"/>
        </w:rPr>
        <w:t xml:space="preserve">U cilju jačanja daljnje međuinstitucionalne suradnje potpisan je </w:t>
      </w:r>
      <w:r w:rsidRPr="006A6FE5">
        <w:rPr>
          <w:rFonts w:ascii="Times New Roman" w:eastAsia="Calibri" w:hAnsi="Times New Roman" w:cs="Times New Roman"/>
          <w:i/>
          <w:iCs/>
          <w:sz w:val="24"/>
          <w:szCs w:val="24"/>
          <w:lang w:eastAsia="hr-HR"/>
        </w:rPr>
        <w:t xml:space="preserve">Protokol o suradnji i uspostavi </w:t>
      </w:r>
      <w:r w:rsidR="00C37EEA" w:rsidRPr="00C37EEA">
        <w:rPr>
          <w:rFonts w:ascii="Times New Roman" w:eastAsia="Calibri" w:hAnsi="Times New Roman" w:cs="Times New Roman"/>
          <w:iCs/>
          <w:sz w:val="24"/>
          <w:szCs w:val="24"/>
          <w:lang w:eastAsia="hr-HR"/>
        </w:rPr>
        <w:t xml:space="preserve">U cilju jačanja daljnje međuinstitucionalne suradnje potpisan je </w:t>
      </w:r>
      <w:r w:rsidR="00C37EEA" w:rsidRPr="00C37EEA">
        <w:rPr>
          <w:rFonts w:ascii="Times New Roman" w:eastAsia="Calibri" w:hAnsi="Times New Roman" w:cs="Times New Roman"/>
          <w:i/>
          <w:iCs/>
          <w:sz w:val="24"/>
          <w:szCs w:val="24"/>
          <w:lang w:eastAsia="hr-HR"/>
        </w:rPr>
        <w:t>Protokol o suradnji i uspostavi Međuinstitucionalne radne skupine za sprječavanje pranja novca i financiranja terorizma</w:t>
      </w:r>
      <w:r w:rsidR="00C37EEA" w:rsidRPr="00C37EEA">
        <w:rPr>
          <w:rFonts w:ascii="Times New Roman" w:eastAsia="Calibri" w:hAnsi="Times New Roman" w:cs="Times New Roman"/>
          <w:iCs/>
          <w:sz w:val="24"/>
          <w:szCs w:val="24"/>
          <w:lang w:eastAsia="hr-HR"/>
        </w:rPr>
        <w:t xml:space="preserve"> (dalje u tekstu: MIRS)</w:t>
      </w:r>
      <w:r w:rsidR="00C37EEA" w:rsidRPr="00C37EEA">
        <w:rPr>
          <w:rFonts w:ascii="Times New Roman" w:eastAsia="Times New Roman" w:hAnsi="Times New Roman" w:cs="Times New Roman"/>
          <w:sz w:val="24"/>
          <w:szCs w:val="24"/>
        </w:rPr>
        <w:t xml:space="preserve"> </w:t>
      </w:r>
      <w:r w:rsidR="00C37EEA" w:rsidRPr="00C37EEA">
        <w:rPr>
          <w:rFonts w:ascii="Times New Roman" w:eastAsia="Times New Roman" w:hAnsi="Times New Roman" w:cs="Times New Roman"/>
          <w:sz w:val="24"/>
          <w:szCs w:val="24"/>
          <w:lang w:val="en-US"/>
        </w:rPr>
        <w:t>koji</w:t>
      </w:r>
      <w:r w:rsidR="00C37EEA" w:rsidRPr="00C37EEA">
        <w:rPr>
          <w:rFonts w:ascii="Times New Roman" w:eastAsia="Times New Roman" w:hAnsi="Times New Roman" w:cs="Times New Roman"/>
          <w:sz w:val="24"/>
          <w:szCs w:val="24"/>
        </w:rPr>
        <w:t xml:space="preserve"> </w:t>
      </w:r>
      <w:r w:rsidR="00C37EEA" w:rsidRPr="00C37EEA">
        <w:rPr>
          <w:rFonts w:ascii="Times New Roman" w:eastAsia="Times New Roman" w:hAnsi="Times New Roman" w:cs="Times New Roman"/>
          <w:sz w:val="24"/>
          <w:szCs w:val="24"/>
          <w:lang w:val="en-US"/>
        </w:rPr>
        <w:t>je</w:t>
      </w:r>
      <w:r w:rsidR="00C37EEA" w:rsidRPr="00C37EEA">
        <w:rPr>
          <w:rFonts w:ascii="Times New Roman" w:eastAsia="Times New Roman" w:hAnsi="Times New Roman" w:cs="Times New Roman"/>
          <w:sz w:val="24"/>
          <w:szCs w:val="24"/>
        </w:rPr>
        <w:t xml:space="preserve"> </w:t>
      </w:r>
      <w:r w:rsidR="00C37EEA" w:rsidRPr="00C37EEA">
        <w:rPr>
          <w:rFonts w:ascii="Times New Roman" w:eastAsia="Calibri" w:hAnsi="Times New Roman" w:cs="Times New Roman"/>
          <w:iCs/>
          <w:sz w:val="24"/>
          <w:szCs w:val="24"/>
          <w:lang w:eastAsia="hr-HR"/>
        </w:rPr>
        <w:t>stupio na snagu 1. ožujka 2007. godine.</w:t>
      </w:r>
    </w:p>
    <w:p w14:paraId="3074FD24" w14:textId="77777777" w:rsidR="00C37EEA" w:rsidRPr="00C37EEA" w:rsidRDefault="00C37EEA" w:rsidP="00C37EEA">
      <w:pPr>
        <w:spacing w:after="0" w:line="240" w:lineRule="auto"/>
        <w:jc w:val="both"/>
        <w:rPr>
          <w:rFonts w:ascii="Times New Roman" w:eastAsia="Calibri" w:hAnsi="Times New Roman" w:cs="Times New Roman"/>
          <w:iCs/>
          <w:sz w:val="24"/>
          <w:szCs w:val="24"/>
          <w:lang w:eastAsia="hr-HR"/>
        </w:rPr>
      </w:pPr>
      <w:r w:rsidRPr="00C37EEA">
        <w:rPr>
          <w:rFonts w:ascii="Times New Roman" w:eastAsia="Calibri" w:hAnsi="Times New Roman" w:cs="Times New Roman"/>
          <w:iCs/>
          <w:sz w:val="24"/>
          <w:szCs w:val="24"/>
          <w:lang w:eastAsia="hr-HR"/>
        </w:rPr>
        <w:t>U radu MIRS-a sudjeluju predstavnici 11 institucija</w:t>
      </w:r>
      <w:r w:rsidRPr="00C37EEA">
        <w:rPr>
          <w:rFonts w:ascii="Calibri" w:eastAsia="Times New Roman" w:hAnsi="Calibri" w:cs="Calibri"/>
        </w:rPr>
        <w:t xml:space="preserve"> </w:t>
      </w:r>
      <w:r w:rsidRPr="00C37EEA">
        <w:rPr>
          <w:rFonts w:ascii="Times New Roman" w:eastAsia="Calibri" w:hAnsi="Times New Roman" w:cs="Times New Roman"/>
          <w:iCs/>
          <w:sz w:val="24"/>
          <w:szCs w:val="24"/>
          <w:lang w:eastAsia="hr-HR"/>
        </w:rPr>
        <w:t xml:space="preserve">nadležnih za suzbijanje pranja novca i financiranja terorizma: Ured, Financijski inspektorat, Porezna uprava, Carinska uprava, HNB, HANFA, MUP, DORH, SOA, Ministarstvo pravosuđa i uprave i Ministarstvo vanjskih i europskih poslova. </w:t>
      </w:r>
    </w:p>
    <w:p w14:paraId="13202AEB" w14:textId="77777777" w:rsidR="00C37EEA" w:rsidRPr="00C37EEA" w:rsidRDefault="00C37EEA" w:rsidP="00C37EEA">
      <w:pPr>
        <w:spacing w:after="0" w:line="240" w:lineRule="auto"/>
        <w:jc w:val="both"/>
        <w:rPr>
          <w:rFonts w:ascii="Times New Roman" w:eastAsia="Calibri" w:hAnsi="Times New Roman" w:cs="Times New Roman"/>
          <w:iCs/>
          <w:sz w:val="24"/>
          <w:szCs w:val="24"/>
          <w:lang w:eastAsia="hr-HR"/>
        </w:rPr>
      </w:pPr>
    </w:p>
    <w:p w14:paraId="541B2EDE" w14:textId="77777777" w:rsidR="00C37EEA" w:rsidRPr="00C37EEA" w:rsidRDefault="00C37EEA" w:rsidP="00C37EEA">
      <w:pPr>
        <w:spacing w:after="0" w:line="240" w:lineRule="auto"/>
        <w:jc w:val="both"/>
        <w:rPr>
          <w:rFonts w:ascii="Times New Roman" w:eastAsia="Calibri" w:hAnsi="Times New Roman" w:cs="Times New Roman"/>
          <w:iCs/>
          <w:sz w:val="24"/>
          <w:szCs w:val="24"/>
          <w:lang w:eastAsia="hr-HR"/>
        </w:rPr>
      </w:pPr>
      <w:r w:rsidRPr="00C37EEA">
        <w:rPr>
          <w:rFonts w:ascii="Times New Roman" w:eastAsia="Calibri" w:hAnsi="Times New Roman" w:cs="Times New Roman"/>
          <w:iCs/>
          <w:sz w:val="24"/>
          <w:szCs w:val="24"/>
          <w:lang w:eastAsia="hr-HR"/>
        </w:rPr>
        <w:t xml:space="preserve">U okviru MIRS-a osnovane su i dvije podskupine: </w:t>
      </w:r>
    </w:p>
    <w:p w14:paraId="31E1EF03" w14:textId="77777777" w:rsidR="00C37EEA" w:rsidRPr="00C37EEA" w:rsidRDefault="00C37EEA" w:rsidP="00C37EEA">
      <w:pPr>
        <w:spacing w:before="120" w:after="0" w:line="240" w:lineRule="auto"/>
        <w:ind w:left="142"/>
        <w:jc w:val="both"/>
        <w:rPr>
          <w:rFonts w:ascii="Times New Roman" w:eastAsia="Calibri" w:hAnsi="Times New Roman" w:cs="Times New Roman"/>
          <w:iCs/>
          <w:sz w:val="24"/>
          <w:szCs w:val="24"/>
          <w:lang w:eastAsia="hr-HR"/>
        </w:rPr>
      </w:pPr>
      <w:r w:rsidRPr="00C37EEA">
        <w:rPr>
          <w:rFonts w:ascii="Times New Roman" w:eastAsia="Calibri" w:hAnsi="Times New Roman" w:cs="Times New Roman"/>
          <w:iCs/>
          <w:sz w:val="24"/>
          <w:szCs w:val="24"/>
          <w:lang w:eastAsia="hr-HR"/>
        </w:rPr>
        <w:t xml:space="preserve">1. </w:t>
      </w:r>
      <w:r w:rsidRPr="00C37EEA">
        <w:rPr>
          <w:rFonts w:ascii="Times New Roman" w:eastAsia="Calibri" w:hAnsi="Times New Roman" w:cs="Times New Roman"/>
          <w:iCs/>
          <w:sz w:val="24"/>
          <w:szCs w:val="24"/>
          <w:u w:val="single"/>
          <w:lang w:eastAsia="hr-HR"/>
        </w:rPr>
        <w:t>Podskupina MIRS za nadzor</w:t>
      </w:r>
      <w:r w:rsidRPr="00C37EEA">
        <w:rPr>
          <w:rFonts w:ascii="Times New Roman" w:eastAsia="Calibri" w:hAnsi="Times New Roman" w:cs="Times New Roman"/>
          <w:iCs/>
          <w:sz w:val="24"/>
          <w:szCs w:val="24"/>
          <w:lang w:eastAsia="hr-HR"/>
        </w:rPr>
        <w:t xml:space="preserve"> osnovana je 12. svibnja 2011. s ciljem jačanja koordinacije i razmjene iskustava i najboljih praksi postupanja tijela zaduženih za nadzor provedbe mjera i radnji sprječavanja pranja novca i financiranja terorizma. </w:t>
      </w:r>
    </w:p>
    <w:p w14:paraId="439B234D" w14:textId="77777777" w:rsidR="00C37EEA" w:rsidRPr="00C37EEA" w:rsidRDefault="00C37EEA" w:rsidP="00C37EEA">
      <w:pPr>
        <w:spacing w:before="80" w:after="0" w:line="240" w:lineRule="auto"/>
        <w:ind w:left="142"/>
        <w:jc w:val="both"/>
        <w:rPr>
          <w:rFonts w:ascii="Times New Roman" w:eastAsia="Calibri" w:hAnsi="Times New Roman" w:cs="Times New Roman"/>
          <w:iCs/>
          <w:sz w:val="24"/>
          <w:szCs w:val="24"/>
          <w:lang w:eastAsia="hr-HR"/>
        </w:rPr>
      </w:pPr>
      <w:r w:rsidRPr="00C37EEA">
        <w:rPr>
          <w:rFonts w:ascii="Times New Roman" w:eastAsia="Times New Roman" w:hAnsi="Times New Roman" w:cs="Times New Roman"/>
          <w:sz w:val="24"/>
          <w:szCs w:val="24"/>
          <w:lang w:eastAsia="hr-HR"/>
        </w:rPr>
        <w:t>Zadaće Podskupine MIRS za nadzor su razmjena statističkih podataka o provedenim nadzorima, razmjena iskustava iz nadzora („</w:t>
      </w:r>
      <w:r w:rsidRPr="00C37EEA">
        <w:rPr>
          <w:rFonts w:ascii="Times New Roman" w:eastAsia="Times New Roman" w:hAnsi="Times New Roman" w:cs="Times New Roman"/>
          <w:i/>
          <w:sz w:val="24"/>
          <w:szCs w:val="24"/>
          <w:lang w:eastAsia="hr-HR"/>
        </w:rPr>
        <w:t>best practices</w:t>
      </w:r>
      <w:r w:rsidRPr="00C37EEA">
        <w:rPr>
          <w:rFonts w:ascii="Times New Roman" w:eastAsia="Times New Roman" w:hAnsi="Times New Roman" w:cs="Times New Roman"/>
          <w:sz w:val="24"/>
          <w:szCs w:val="24"/>
          <w:lang w:eastAsia="hr-HR"/>
        </w:rPr>
        <w:t>“), razmjena informacija o uočenim nepravilnostima u primjeni Zakona, jačanje i koordinacija nadzornih aktivnosti te razmjena podataka o planovima nadzora.</w:t>
      </w:r>
    </w:p>
    <w:p w14:paraId="31A61950" w14:textId="4E1FDC1B" w:rsidR="00C37EEA" w:rsidRDefault="00C37EEA" w:rsidP="00C37EEA">
      <w:pPr>
        <w:spacing w:before="240" w:after="0" w:line="240" w:lineRule="auto"/>
        <w:ind w:left="142"/>
        <w:jc w:val="both"/>
        <w:rPr>
          <w:rFonts w:ascii="Times New Roman" w:eastAsia="Calibri" w:hAnsi="Times New Roman" w:cs="Times New Roman"/>
          <w:iCs/>
          <w:noProof/>
          <w:sz w:val="24"/>
          <w:szCs w:val="24"/>
          <w:lang w:eastAsia="hr-HR"/>
        </w:rPr>
      </w:pPr>
      <w:r w:rsidRPr="00C37EEA">
        <w:rPr>
          <w:rFonts w:ascii="Times New Roman" w:eastAsia="Calibri" w:hAnsi="Times New Roman" w:cs="Times New Roman"/>
          <w:iCs/>
          <w:sz w:val="24"/>
          <w:szCs w:val="24"/>
          <w:lang w:eastAsia="hr-HR"/>
        </w:rPr>
        <w:t xml:space="preserve">2. </w:t>
      </w:r>
      <w:r w:rsidRPr="00C37EEA">
        <w:rPr>
          <w:rFonts w:ascii="Times New Roman" w:eastAsia="Calibri" w:hAnsi="Times New Roman" w:cs="Times New Roman"/>
          <w:iCs/>
          <w:sz w:val="24"/>
          <w:szCs w:val="24"/>
          <w:u w:val="single"/>
          <w:lang w:eastAsia="hr-HR"/>
        </w:rPr>
        <w:t>Operativna podskupina MIRS</w:t>
      </w:r>
      <w:r w:rsidRPr="00C37EEA">
        <w:rPr>
          <w:rFonts w:ascii="Times New Roman" w:eastAsia="Calibri" w:hAnsi="Times New Roman" w:cs="Times New Roman"/>
          <w:iCs/>
          <w:sz w:val="24"/>
          <w:szCs w:val="24"/>
          <w:lang w:eastAsia="hr-HR"/>
        </w:rPr>
        <w:t xml:space="preserve"> osnovana je 08. rujna 2011.</w:t>
      </w:r>
      <w:r w:rsidRPr="00C37EEA">
        <w:rPr>
          <w:rFonts w:ascii="Calibri" w:eastAsia="Calibri" w:hAnsi="Calibri" w:cs="Times New Roman"/>
          <w:b/>
        </w:rPr>
        <w:t xml:space="preserve"> </w:t>
      </w:r>
      <w:r w:rsidRPr="00C37EEA">
        <w:rPr>
          <w:rFonts w:ascii="Times New Roman" w:eastAsia="Calibri" w:hAnsi="Times New Roman" w:cs="Times New Roman"/>
          <w:iCs/>
          <w:sz w:val="24"/>
          <w:szCs w:val="24"/>
          <w:lang w:eastAsia="hr-HR"/>
        </w:rPr>
        <w:t>s ciljem učinkovitije suradnje na konkretnim predmetima i koordinacije postupanja, kao i s ciljem davanja uzajamne povratne informacije u predmetima povezanima s pranjem novca ili financiranjem terorizma</w:t>
      </w:r>
      <w:r w:rsidRPr="00C37EEA">
        <w:rPr>
          <w:rFonts w:ascii="Times New Roman" w:eastAsia="Calibri" w:hAnsi="Times New Roman" w:cs="Times New Roman"/>
          <w:iCs/>
          <w:noProof/>
          <w:sz w:val="24"/>
          <w:szCs w:val="24"/>
          <w:lang w:eastAsia="hr-HR"/>
        </w:rPr>
        <w:t xml:space="preserve">. </w:t>
      </w:r>
    </w:p>
    <w:p w14:paraId="4C25F1D2" w14:textId="77777777" w:rsidR="00C37EEA" w:rsidRPr="00C37EEA" w:rsidRDefault="00C37EEA" w:rsidP="00C37EEA">
      <w:pPr>
        <w:spacing w:after="0" w:line="276" w:lineRule="auto"/>
        <w:jc w:val="both"/>
        <w:rPr>
          <w:rFonts w:ascii="Times New Roman" w:eastAsia="Calibri" w:hAnsi="Times New Roman" w:cs="Times New Roman"/>
          <w:iCs/>
          <w:sz w:val="24"/>
          <w:szCs w:val="24"/>
          <w:lang w:eastAsia="hr-HR"/>
        </w:rPr>
      </w:pPr>
    </w:p>
    <w:p w14:paraId="66BAE45F" w14:textId="77777777" w:rsidR="00C37EEA" w:rsidRPr="00C37EEA" w:rsidRDefault="00C37EEA" w:rsidP="00C37EEA">
      <w:pPr>
        <w:spacing w:after="0" w:line="276" w:lineRule="auto"/>
        <w:jc w:val="both"/>
        <w:rPr>
          <w:rFonts w:ascii="Times New Roman" w:eastAsia="Calibri" w:hAnsi="Times New Roman" w:cs="Times New Roman"/>
          <w:iCs/>
          <w:sz w:val="24"/>
          <w:szCs w:val="24"/>
          <w:lang w:eastAsia="hr-HR"/>
        </w:rPr>
      </w:pPr>
      <w:r w:rsidRPr="00C37EEA">
        <w:rPr>
          <w:rFonts w:ascii="Times New Roman" w:eastAsia="Calibri" w:hAnsi="Times New Roman" w:cs="Times New Roman"/>
          <w:iCs/>
          <w:sz w:val="24"/>
          <w:szCs w:val="24"/>
          <w:lang w:eastAsia="hr-HR"/>
        </w:rPr>
        <w:t>U 2022. godini održana su 2 sastanka MIRS-a te 11 sastanaka Podskupine MIRS-a za nadzor.</w:t>
      </w:r>
    </w:p>
    <w:p w14:paraId="4550547E" w14:textId="602CF7E6" w:rsidR="004665E0" w:rsidRPr="00C37EEA" w:rsidRDefault="004665E0" w:rsidP="00C37EEA">
      <w:pPr>
        <w:spacing w:after="0" w:line="240" w:lineRule="auto"/>
        <w:jc w:val="both"/>
        <w:rPr>
          <w:rFonts w:ascii="Times New Roman" w:eastAsia="Calibri" w:hAnsi="Times New Roman" w:cs="Times New Roman"/>
          <w:sz w:val="24"/>
          <w:szCs w:val="24"/>
        </w:rPr>
      </w:pPr>
    </w:p>
    <w:p w14:paraId="382F2B6A" w14:textId="0DC368D9" w:rsidR="00C37EEA" w:rsidRPr="003C57AF" w:rsidRDefault="00D502E4" w:rsidP="003C57AF">
      <w:pPr>
        <w:pStyle w:val="Naslov3"/>
      </w:pPr>
      <w:bookmarkStart w:id="34" w:name="_Toc153353433"/>
      <w:r w:rsidRPr="003C57AF">
        <w:t>5.</w:t>
      </w:r>
      <w:r w:rsidR="00610A6A" w:rsidRPr="003C57AF">
        <w:t>2</w:t>
      </w:r>
      <w:r w:rsidRPr="003C57AF">
        <w:t>.</w:t>
      </w:r>
      <w:r w:rsidRPr="003C57AF">
        <w:tab/>
      </w:r>
      <w:r w:rsidR="00C37EEA" w:rsidRPr="003C57AF">
        <w:t>Provedba Akcijskog plana Vlade Republike Hrvatske</w:t>
      </w:r>
      <w:bookmarkEnd w:id="34"/>
    </w:p>
    <w:p w14:paraId="7C6668B1" w14:textId="7B6F3A23" w:rsidR="00D502E4" w:rsidRPr="00FC355A" w:rsidRDefault="00FC355A" w:rsidP="00FC355A">
      <w:pPr>
        <w:spacing w:after="0" w:line="240" w:lineRule="auto"/>
        <w:jc w:val="both"/>
        <w:rPr>
          <w:rFonts w:ascii="Times New Roman" w:hAnsi="Times New Roman" w:cs="Times New Roman"/>
          <w:sz w:val="24"/>
          <w:szCs w:val="24"/>
        </w:rPr>
      </w:pPr>
      <w:bookmarkStart w:id="35" w:name="_Toc74662626"/>
      <w:r w:rsidRPr="00FC355A">
        <w:rPr>
          <w:rFonts w:ascii="Times New Roman" w:hAnsi="Times New Roman" w:cs="Times New Roman"/>
          <w:bCs/>
          <w:sz w:val="24"/>
          <w:szCs w:val="24"/>
        </w:rPr>
        <w:t>Vlada Republike Hrvatske je na sjednici održanoj 12. svibnja 2022. donijela Zaključak kojim se prihvaća Akcijski plan za jačanje učinkovitosti hrvatskog sustava sprječavanja pranja novca i financiranja terorizma („Narodne novine“ broj 56/22) (u daljnjem tekstu: Akcijski plan). Akcijski plan sadrži mjere i aktivnosti čiji je cilj daljnje jačanje hrvatskog sustava sprječavanja pranja novca i financiranja terorizma, a kojima će se ujedno ispuniti i preporučene mjere Odbora stručnjaka Vijeća Europe MONEYVAL (u daljnjem tekstu: MONEYVAL) iz Izvješća o 5. krugu evaluacije Republike Hrvatske, usvojenog na 62</w:t>
      </w:r>
      <w:r>
        <w:rPr>
          <w:rFonts w:ascii="Times New Roman" w:hAnsi="Times New Roman" w:cs="Times New Roman"/>
          <w:bCs/>
          <w:sz w:val="24"/>
          <w:szCs w:val="24"/>
        </w:rPr>
        <w:t>. plenarnoj sjednici MONEYVAL.</w:t>
      </w:r>
    </w:p>
    <w:p w14:paraId="7951A088" w14:textId="34EB030D" w:rsidR="00FC355A" w:rsidRDefault="00FC355A" w:rsidP="00D502E4">
      <w:pPr>
        <w:spacing w:after="0" w:line="240" w:lineRule="auto"/>
        <w:rPr>
          <w:rFonts w:ascii="Times New Roman" w:hAnsi="Times New Roman" w:cs="Times New Roman"/>
          <w:sz w:val="24"/>
          <w:szCs w:val="24"/>
        </w:rPr>
      </w:pPr>
    </w:p>
    <w:p w14:paraId="36E0D15B" w14:textId="5078FB80" w:rsidR="00FC355A" w:rsidRDefault="00FC355A" w:rsidP="00D502E4">
      <w:pPr>
        <w:spacing w:after="0" w:line="240" w:lineRule="auto"/>
        <w:rPr>
          <w:rFonts w:ascii="Times New Roman" w:hAnsi="Times New Roman" w:cs="Times New Roman"/>
          <w:sz w:val="24"/>
          <w:szCs w:val="24"/>
        </w:rPr>
      </w:pPr>
      <w:r>
        <w:rPr>
          <w:rFonts w:ascii="Times New Roman" w:hAnsi="Times New Roman" w:cs="Times New Roman"/>
          <w:sz w:val="24"/>
          <w:szCs w:val="24"/>
        </w:rPr>
        <w:t>Ured je tijekom 2022. proveo sljedeće mjere iz Akcijskog plana:</w:t>
      </w:r>
    </w:p>
    <w:p w14:paraId="43378292" w14:textId="253EE20C" w:rsidR="00FC355A" w:rsidRPr="00FC355A" w:rsidRDefault="00FC355A" w:rsidP="00FC355A">
      <w:pPr>
        <w:pStyle w:val="Odlomakpopisa"/>
        <w:numPr>
          <w:ilvl w:val="0"/>
          <w:numId w:val="5"/>
        </w:numPr>
        <w:jc w:val="both"/>
        <w:rPr>
          <w:rFonts w:ascii="Times New Roman" w:hAnsi="Times New Roman"/>
          <w:sz w:val="24"/>
          <w:szCs w:val="24"/>
        </w:rPr>
      </w:pPr>
      <w:r w:rsidRPr="00FC355A">
        <w:rPr>
          <w:rFonts w:ascii="Times New Roman" w:hAnsi="Times New Roman"/>
          <w:b w:val="0"/>
          <w:sz w:val="24"/>
          <w:szCs w:val="24"/>
        </w:rPr>
        <w:t xml:space="preserve">Na inicijativu Ureda održan je operativni sastanak užih članova MIRS-a (MUP, HNB i Ured) vezano za </w:t>
      </w:r>
      <w:r>
        <w:rPr>
          <w:rFonts w:ascii="Times New Roman" w:hAnsi="Times New Roman"/>
          <w:b w:val="0"/>
          <w:sz w:val="24"/>
          <w:szCs w:val="24"/>
        </w:rPr>
        <w:t>suradnju i razmjenu informacija tijela kaznenog progona i nadzornih tijela u postupanjima prema obveznicima.</w:t>
      </w:r>
    </w:p>
    <w:p w14:paraId="78729D94" w14:textId="2454D835" w:rsidR="00FC355A" w:rsidRDefault="00FC355A" w:rsidP="00FC355A">
      <w:pPr>
        <w:pStyle w:val="Odlomakpopisa"/>
        <w:numPr>
          <w:ilvl w:val="0"/>
          <w:numId w:val="5"/>
        </w:numPr>
        <w:jc w:val="both"/>
        <w:rPr>
          <w:rFonts w:ascii="Times New Roman" w:hAnsi="Times New Roman"/>
          <w:b w:val="0"/>
          <w:sz w:val="24"/>
          <w:szCs w:val="24"/>
        </w:rPr>
      </w:pPr>
      <w:r w:rsidRPr="00FC355A">
        <w:rPr>
          <w:rFonts w:ascii="Times New Roman" w:hAnsi="Times New Roman"/>
          <w:b w:val="0"/>
          <w:sz w:val="24"/>
          <w:szCs w:val="24"/>
        </w:rPr>
        <w:t>Ured sve slučajeve sa sumnjom na financiranje terorizma osim SOA-i dostavlja i tijelima kaznenog progona (DORH, MUP – Ravnateljstvo policije).U 2022. Ured za sprječavanje pranja novca je tijelima kaznenog progona dostavio ukupno 6 operativnih analiza sa sumnjom na financiranje terorizma.</w:t>
      </w:r>
    </w:p>
    <w:p w14:paraId="65F7402B" w14:textId="578D7906" w:rsidR="00FC355A" w:rsidRDefault="00FC355A" w:rsidP="00FC355A">
      <w:pPr>
        <w:pStyle w:val="Odlomakpopisa"/>
        <w:numPr>
          <w:ilvl w:val="0"/>
          <w:numId w:val="5"/>
        </w:numPr>
        <w:jc w:val="both"/>
        <w:rPr>
          <w:rFonts w:ascii="Times New Roman" w:hAnsi="Times New Roman"/>
          <w:b w:val="0"/>
          <w:sz w:val="24"/>
          <w:szCs w:val="24"/>
        </w:rPr>
      </w:pPr>
      <w:r w:rsidRPr="00FC355A">
        <w:rPr>
          <w:rFonts w:ascii="Times New Roman" w:hAnsi="Times New Roman"/>
          <w:b w:val="0"/>
          <w:sz w:val="24"/>
          <w:szCs w:val="24"/>
        </w:rPr>
        <w:lastRenderedPageBreak/>
        <w:t xml:space="preserve">Ured </w:t>
      </w:r>
      <w:r>
        <w:rPr>
          <w:rFonts w:ascii="Times New Roman" w:hAnsi="Times New Roman"/>
          <w:b w:val="0"/>
          <w:sz w:val="24"/>
          <w:szCs w:val="24"/>
        </w:rPr>
        <w:t>je ažurirao</w:t>
      </w:r>
      <w:r w:rsidRPr="00FC355A">
        <w:rPr>
          <w:rFonts w:ascii="Times New Roman" w:hAnsi="Times New Roman"/>
          <w:b w:val="0"/>
          <w:sz w:val="24"/>
          <w:szCs w:val="24"/>
        </w:rPr>
        <w:t xml:space="preserve"> interne procedure rada u odnosu na dostavu slučajeva Ureda te nove funkcionalnosti aplikativnog sustava u kojem se provodi analitička obrada sumnjivih transakcija i osoba.</w:t>
      </w:r>
    </w:p>
    <w:p w14:paraId="6968BBE9" w14:textId="3F0D7D5A" w:rsidR="00FC355A" w:rsidRDefault="002B299F" w:rsidP="002B299F">
      <w:pPr>
        <w:pStyle w:val="Odlomakpopisa"/>
        <w:numPr>
          <w:ilvl w:val="0"/>
          <w:numId w:val="5"/>
        </w:numPr>
        <w:jc w:val="both"/>
        <w:rPr>
          <w:rFonts w:ascii="Times New Roman" w:hAnsi="Times New Roman"/>
          <w:b w:val="0"/>
          <w:sz w:val="24"/>
          <w:szCs w:val="24"/>
        </w:rPr>
      </w:pPr>
      <w:r>
        <w:rPr>
          <w:rFonts w:ascii="Times New Roman" w:hAnsi="Times New Roman"/>
          <w:b w:val="0"/>
          <w:sz w:val="24"/>
          <w:szCs w:val="24"/>
        </w:rPr>
        <w:t>Ured je proveo</w:t>
      </w:r>
      <w:r w:rsidRPr="002B299F">
        <w:rPr>
          <w:rFonts w:ascii="Times New Roman" w:hAnsi="Times New Roman"/>
          <w:b w:val="0"/>
          <w:sz w:val="24"/>
          <w:szCs w:val="24"/>
        </w:rPr>
        <w:t xml:space="preserve"> su </w:t>
      </w:r>
      <w:r>
        <w:rPr>
          <w:rFonts w:ascii="Times New Roman" w:hAnsi="Times New Roman"/>
          <w:b w:val="0"/>
          <w:sz w:val="24"/>
          <w:szCs w:val="24"/>
        </w:rPr>
        <w:t xml:space="preserve">strategijske analize slučajeva </w:t>
      </w:r>
      <w:r w:rsidRPr="002B299F">
        <w:rPr>
          <w:rFonts w:ascii="Times New Roman" w:hAnsi="Times New Roman"/>
          <w:b w:val="0"/>
          <w:sz w:val="24"/>
          <w:szCs w:val="24"/>
        </w:rPr>
        <w:t>vezan</w:t>
      </w:r>
      <w:r>
        <w:rPr>
          <w:rFonts w:ascii="Times New Roman" w:hAnsi="Times New Roman"/>
          <w:b w:val="0"/>
          <w:sz w:val="24"/>
          <w:szCs w:val="24"/>
        </w:rPr>
        <w:t>ih</w:t>
      </w:r>
      <w:r w:rsidRPr="002B299F">
        <w:rPr>
          <w:rFonts w:ascii="Times New Roman" w:hAnsi="Times New Roman"/>
          <w:b w:val="0"/>
          <w:sz w:val="24"/>
          <w:szCs w:val="24"/>
        </w:rPr>
        <w:t xml:space="preserve"> za povećana područja rizika od pranja novca (porezne utaje, zlouporabe u gospodarskom poslovanju, zlouporabe položaja i ovlasti, zlouporabe opojnih droga).</w:t>
      </w:r>
    </w:p>
    <w:p w14:paraId="038ECE00" w14:textId="6AB5D863" w:rsidR="002B299F" w:rsidRDefault="002B299F" w:rsidP="002B299F">
      <w:pPr>
        <w:pStyle w:val="Odlomakpopisa"/>
        <w:numPr>
          <w:ilvl w:val="0"/>
          <w:numId w:val="5"/>
        </w:numPr>
        <w:jc w:val="both"/>
        <w:rPr>
          <w:rFonts w:ascii="Times New Roman" w:hAnsi="Times New Roman"/>
          <w:b w:val="0"/>
          <w:sz w:val="24"/>
          <w:szCs w:val="24"/>
        </w:rPr>
      </w:pPr>
      <w:r w:rsidRPr="002B299F">
        <w:rPr>
          <w:rFonts w:ascii="Times New Roman" w:hAnsi="Times New Roman"/>
          <w:b w:val="0"/>
          <w:sz w:val="24"/>
          <w:szCs w:val="24"/>
        </w:rPr>
        <w:t>Određena je kontakt osoba u DORH-u preko koje se zahtijeva</w:t>
      </w:r>
      <w:r>
        <w:rPr>
          <w:rFonts w:ascii="Times New Roman" w:hAnsi="Times New Roman"/>
          <w:b w:val="0"/>
          <w:sz w:val="24"/>
          <w:szCs w:val="24"/>
        </w:rPr>
        <w:t>ju i zaprimaju</w:t>
      </w:r>
      <w:r w:rsidRPr="002B299F">
        <w:rPr>
          <w:rFonts w:ascii="Times New Roman" w:hAnsi="Times New Roman"/>
          <w:b w:val="0"/>
          <w:sz w:val="24"/>
          <w:szCs w:val="24"/>
        </w:rPr>
        <w:t xml:space="preserve"> poda</w:t>
      </w:r>
      <w:r>
        <w:rPr>
          <w:rFonts w:ascii="Times New Roman" w:hAnsi="Times New Roman"/>
          <w:b w:val="0"/>
          <w:sz w:val="24"/>
          <w:szCs w:val="24"/>
        </w:rPr>
        <w:t>t</w:t>
      </w:r>
      <w:r w:rsidRPr="002B299F">
        <w:rPr>
          <w:rFonts w:ascii="Times New Roman" w:hAnsi="Times New Roman"/>
          <w:b w:val="0"/>
          <w:sz w:val="24"/>
          <w:szCs w:val="24"/>
        </w:rPr>
        <w:t>ci o kaznenom postupku te je time osiguran pristup Uredu podacima potrebnim za sprječavanje i otkrivanje pranja novca i financiranje terorizma</w:t>
      </w:r>
      <w:r>
        <w:rPr>
          <w:rFonts w:ascii="Times New Roman" w:hAnsi="Times New Roman"/>
          <w:b w:val="0"/>
          <w:sz w:val="24"/>
          <w:szCs w:val="24"/>
        </w:rPr>
        <w:t>.</w:t>
      </w:r>
    </w:p>
    <w:p w14:paraId="6E7E3E89" w14:textId="34978FA3" w:rsidR="002B299F" w:rsidRDefault="002B299F" w:rsidP="002B299F">
      <w:pPr>
        <w:pStyle w:val="Odlomakpopisa"/>
        <w:numPr>
          <w:ilvl w:val="0"/>
          <w:numId w:val="5"/>
        </w:numPr>
        <w:jc w:val="both"/>
        <w:rPr>
          <w:rFonts w:ascii="Times New Roman" w:hAnsi="Times New Roman"/>
          <w:b w:val="0"/>
          <w:sz w:val="24"/>
          <w:szCs w:val="24"/>
        </w:rPr>
      </w:pPr>
      <w:r w:rsidRPr="002B299F">
        <w:rPr>
          <w:rFonts w:ascii="Times New Roman" w:hAnsi="Times New Roman"/>
          <w:b w:val="0"/>
          <w:sz w:val="24"/>
          <w:szCs w:val="24"/>
        </w:rPr>
        <w:t xml:space="preserve">Ostvarena je komunikacija između </w:t>
      </w:r>
      <w:r>
        <w:rPr>
          <w:rFonts w:ascii="Times New Roman" w:hAnsi="Times New Roman"/>
          <w:b w:val="0"/>
          <w:sz w:val="24"/>
          <w:szCs w:val="24"/>
        </w:rPr>
        <w:t>Ureda i Ministarstva pravosuđa i uprave</w:t>
      </w:r>
      <w:r w:rsidRPr="002B299F">
        <w:rPr>
          <w:rFonts w:ascii="Times New Roman" w:hAnsi="Times New Roman"/>
          <w:b w:val="0"/>
          <w:sz w:val="24"/>
          <w:szCs w:val="24"/>
        </w:rPr>
        <w:t xml:space="preserve"> (Uprave za kazneno pravo) i utvrđen </w:t>
      </w:r>
      <w:r>
        <w:rPr>
          <w:rFonts w:ascii="Times New Roman" w:hAnsi="Times New Roman"/>
          <w:b w:val="0"/>
          <w:sz w:val="24"/>
          <w:szCs w:val="24"/>
        </w:rPr>
        <w:t xml:space="preserve">je </w:t>
      </w:r>
      <w:r w:rsidRPr="002B299F">
        <w:rPr>
          <w:rFonts w:ascii="Times New Roman" w:hAnsi="Times New Roman"/>
          <w:b w:val="0"/>
          <w:sz w:val="24"/>
          <w:szCs w:val="24"/>
        </w:rPr>
        <w:t xml:space="preserve">način </w:t>
      </w:r>
      <w:r>
        <w:rPr>
          <w:rFonts w:ascii="Times New Roman" w:hAnsi="Times New Roman"/>
          <w:b w:val="0"/>
          <w:sz w:val="24"/>
          <w:szCs w:val="24"/>
        </w:rPr>
        <w:t>razmjene podataka</w:t>
      </w:r>
      <w:r w:rsidRPr="002B299F">
        <w:rPr>
          <w:rFonts w:ascii="Times New Roman" w:hAnsi="Times New Roman"/>
          <w:b w:val="0"/>
          <w:sz w:val="24"/>
          <w:szCs w:val="24"/>
        </w:rPr>
        <w:t xml:space="preserve"> kojim </w:t>
      </w:r>
      <w:r>
        <w:rPr>
          <w:rFonts w:ascii="Times New Roman" w:hAnsi="Times New Roman"/>
          <w:b w:val="0"/>
          <w:sz w:val="24"/>
          <w:szCs w:val="24"/>
        </w:rPr>
        <w:t>je</w:t>
      </w:r>
      <w:r w:rsidRPr="002B299F">
        <w:rPr>
          <w:rFonts w:ascii="Times New Roman" w:hAnsi="Times New Roman"/>
          <w:b w:val="0"/>
          <w:sz w:val="24"/>
          <w:szCs w:val="24"/>
        </w:rPr>
        <w:t xml:space="preserve"> U</w:t>
      </w:r>
      <w:r>
        <w:rPr>
          <w:rFonts w:ascii="Times New Roman" w:hAnsi="Times New Roman"/>
          <w:b w:val="0"/>
          <w:sz w:val="24"/>
          <w:szCs w:val="24"/>
        </w:rPr>
        <w:t>redu omogućen</w:t>
      </w:r>
      <w:r w:rsidRPr="002B299F">
        <w:rPr>
          <w:rFonts w:ascii="Times New Roman" w:hAnsi="Times New Roman"/>
          <w:b w:val="0"/>
          <w:sz w:val="24"/>
          <w:szCs w:val="24"/>
        </w:rPr>
        <w:t xml:space="preserve"> pravodoban pristup podacima iz kaznene evidencije, na način propisan zakonom koji uređuje ustrojstvo kaznene evidencije, vođenje, dostupnost i davanje podataka iz kaznene evidencije</w:t>
      </w:r>
      <w:r>
        <w:rPr>
          <w:rFonts w:ascii="Times New Roman" w:hAnsi="Times New Roman"/>
          <w:b w:val="0"/>
          <w:sz w:val="24"/>
          <w:szCs w:val="24"/>
        </w:rPr>
        <w:t>.</w:t>
      </w:r>
    </w:p>
    <w:p w14:paraId="356E3749" w14:textId="065E3891" w:rsidR="002B299F" w:rsidRDefault="002B299F" w:rsidP="002B299F">
      <w:pPr>
        <w:pStyle w:val="Odlomakpopisa"/>
        <w:numPr>
          <w:ilvl w:val="0"/>
          <w:numId w:val="5"/>
        </w:numPr>
        <w:jc w:val="both"/>
        <w:rPr>
          <w:rFonts w:ascii="Times New Roman" w:hAnsi="Times New Roman"/>
          <w:b w:val="0"/>
          <w:sz w:val="24"/>
          <w:szCs w:val="24"/>
        </w:rPr>
      </w:pPr>
      <w:r>
        <w:rPr>
          <w:rFonts w:ascii="Times New Roman" w:hAnsi="Times New Roman"/>
          <w:b w:val="0"/>
          <w:sz w:val="24"/>
          <w:szCs w:val="24"/>
        </w:rPr>
        <w:t>O</w:t>
      </w:r>
      <w:r w:rsidRPr="002B299F">
        <w:rPr>
          <w:rFonts w:ascii="Times New Roman" w:hAnsi="Times New Roman"/>
          <w:b w:val="0"/>
          <w:sz w:val="24"/>
          <w:szCs w:val="24"/>
        </w:rPr>
        <w:t>mogućen</w:t>
      </w:r>
      <w:r>
        <w:rPr>
          <w:rFonts w:ascii="Times New Roman" w:hAnsi="Times New Roman"/>
          <w:b w:val="0"/>
          <w:sz w:val="24"/>
          <w:szCs w:val="24"/>
        </w:rPr>
        <w:t xml:space="preserve"> je</w:t>
      </w:r>
      <w:r w:rsidRPr="002B299F">
        <w:rPr>
          <w:rFonts w:ascii="Times New Roman" w:hAnsi="Times New Roman"/>
          <w:b w:val="0"/>
          <w:sz w:val="24"/>
          <w:szCs w:val="24"/>
        </w:rPr>
        <w:t xml:space="preserve"> pristup službenicima Ureda Zajedničkom informacijskom sustavu zemljišnih knjiga i katastra za pretragu zemljišnih knjiga prema imenu/prezimenu/nazivu i identifikacijskom broju</w:t>
      </w:r>
      <w:r>
        <w:rPr>
          <w:rFonts w:ascii="Times New Roman" w:hAnsi="Times New Roman"/>
          <w:b w:val="0"/>
          <w:sz w:val="24"/>
          <w:szCs w:val="24"/>
        </w:rPr>
        <w:t>.</w:t>
      </w:r>
    </w:p>
    <w:p w14:paraId="67ACD4FC" w14:textId="6E656EEA" w:rsidR="002B299F" w:rsidRDefault="002B299F" w:rsidP="002B299F">
      <w:pPr>
        <w:pStyle w:val="Odlomakpopisa"/>
        <w:numPr>
          <w:ilvl w:val="0"/>
          <w:numId w:val="5"/>
        </w:numPr>
        <w:jc w:val="both"/>
        <w:rPr>
          <w:rFonts w:ascii="Times New Roman" w:hAnsi="Times New Roman"/>
          <w:b w:val="0"/>
          <w:sz w:val="24"/>
          <w:szCs w:val="24"/>
        </w:rPr>
      </w:pPr>
      <w:r>
        <w:rPr>
          <w:rFonts w:ascii="Times New Roman" w:hAnsi="Times New Roman"/>
          <w:b w:val="0"/>
          <w:sz w:val="24"/>
          <w:szCs w:val="24"/>
        </w:rPr>
        <w:t xml:space="preserve">Ured je povaćao učestalost slanja </w:t>
      </w:r>
      <w:r w:rsidRPr="002B299F">
        <w:rPr>
          <w:rFonts w:ascii="Times New Roman" w:hAnsi="Times New Roman"/>
          <w:b w:val="0"/>
          <w:sz w:val="24"/>
          <w:szCs w:val="24"/>
        </w:rPr>
        <w:t>povratnih informacija obveznicima o postupanju po zaprimljenim obavijestima o sumnjivim transakcijama, osobama i sredstvima</w:t>
      </w:r>
      <w:r>
        <w:rPr>
          <w:rFonts w:ascii="Times New Roman" w:hAnsi="Times New Roman"/>
          <w:b w:val="0"/>
          <w:sz w:val="24"/>
          <w:szCs w:val="24"/>
        </w:rPr>
        <w:t>.</w:t>
      </w:r>
    </w:p>
    <w:p w14:paraId="445CED96" w14:textId="30EF5E7D" w:rsidR="002B299F" w:rsidRDefault="002B299F" w:rsidP="002B299F">
      <w:pPr>
        <w:pStyle w:val="Odlomakpopisa"/>
        <w:numPr>
          <w:ilvl w:val="0"/>
          <w:numId w:val="5"/>
        </w:numPr>
        <w:jc w:val="both"/>
        <w:rPr>
          <w:rFonts w:ascii="Times New Roman" w:hAnsi="Times New Roman"/>
          <w:b w:val="0"/>
          <w:sz w:val="24"/>
          <w:szCs w:val="24"/>
        </w:rPr>
      </w:pPr>
      <w:r w:rsidRPr="002B299F">
        <w:rPr>
          <w:rFonts w:ascii="Times New Roman" w:hAnsi="Times New Roman"/>
          <w:b w:val="0"/>
          <w:sz w:val="24"/>
          <w:szCs w:val="24"/>
        </w:rPr>
        <w:t>Šest novih obveznika (izvan bankarskog sektora) spojen</w:t>
      </w:r>
      <w:r>
        <w:rPr>
          <w:rFonts w:ascii="Times New Roman" w:hAnsi="Times New Roman"/>
          <w:b w:val="0"/>
          <w:sz w:val="24"/>
          <w:szCs w:val="24"/>
        </w:rPr>
        <w:t>i</w:t>
      </w:r>
      <w:r w:rsidRPr="002B299F">
        <w:rPr>
          <w:rFonts w:ascii="Times New Roman" w:hAnsi="Times New Roman"/>
          <w:b w:val="0"/>
          <w:sz w:val="24"/>
          <w:szCs w:val="24"/>
        </w:rPr>
        <w:t xml:space="preserve"> su na elektronički sustav prijavljivanja sumnjivih i gotovinskih transakcija Uredu, dok je i tijeku postupak spajanja za još jednog obveznika izvan bankarskog sektora.</w:t>
      </w:r>
    </w:p>
    <w:p w14:paraId="6A08BF11" w14:textId="6D93630B" w:rsidR="002B299F" w:rsidRDefault="002B299F" w:rsidP="002B299F">
      <w:pPr>
        <w:pStyle w:val="Odlomakpopisa"/>
        <w:numPr>
          <w:ilvl w:val="0"/>
          <w:numId w:val="5"/>
        </w:numPr>
        <w:jc w:val="both"/>
        <w:rPr>
          <w:rFonts w:ascii="Times New Roman" w:hAnsi="Times New Roman"/>
          <w:b w:val="0"/>
          <w:sz w:val="24"/>
          <w:szCs w:val="24"/>
        </w:rPr>
      </w:pPr>
      <w:r w:rsidRPr="002B299F">
        <w:rPr>
          <w:rFonts w:ascii="Times New Roman" w:hAnsi="Times New Roman"/>
          <w:b w:val="0"/>
          <w:sz w:val="24"/>
          <w:szCs w:val="24"/>
        </w:rPr>
        <w:t>Pravilnik</w:t>
      </w:r>
      <w:r>
        <w:rPr>
          <w:rFonts w:ascii="Times New Roman" w:hAnsi="Times New Roman"/>
          <w:b w:val="0"/>
          <w:sz w:val="24"/>
          <w:szCs w:val="24"/>
        </w:rPr>
        <w:t>om</w:t>
      </w:r>
      <w:r w:rsidRPr="002B299F">
        <w:rPr>
          <w:rFonts w:ascii="Times New Roman" w:hAnsi="Times New Roman"/>
          <w:b w:val="0"/>
          <w:sz w:val="24"/>
          <w:szCs w:val="24"/>
        </w:rPr>
        <w:t xml:space="preserve"> o izmjenama Pravilnika o obavještavanju Ureda za sprječavanje pranja novca o sumnjivim transakcijama, sredstvima i osobama</w:t>
      </w:r>
      <w:r>
        <w:rPr>
          <w:rFonts w:ascii="Times New Roman" w:hAnsi="Times New Roman"/>
          <w:b w:val="0"/>
          <w:sz w:val="24"/>
          <w:szCs w:val="24"/>
        </w:rPr>
        <w:t>, dopunjeni su podatci koje obveznici šalju Uredu.</w:t>
      </w:r>
    </w:p>
    <w:p w14:paraId="4A4B8C30" w14:textId="7C79030F" w:rsidR="002B299F" w:rsidRDefault="002B299F" w:rsidP="002B299F">
      <w:pPr>
        <w:pStyle w:val="Odlomakpopisa"/>
        <w:numPr>
          <w:ilvl w:val="0"/>
          <w:numId w:val="5"/>
        </w:numPr>
        <w:jc w:val="both"/>
        <w:rPr>
          <w:rFonts w:ascii="Times New Roman" w:hAnsi="Times New Roman"/>
          <w:b w:val="0"/>
          <w:sz w:val="24"/>
          <w:szCs w:val="24"/>
        </w:rPr>
      </w:pPr>
      <w:r w:rsidRPr="002B299F">
        <w:rPr>
          <w:rFonts w:ascii="Times New Roman" w:hAnsi="Times New Roman"/>
          <w:b w:val="0"/>
          <w:sz w:val="24"/>
          <w:szCs w:val="24"/>
        </w:rPr>
        <w:t>Zakon</w:t>
      </w:r>
      <w:r>
        <w:rPr>
          <w:rFonts w:ascii="Times New Roman" w:hAnsi="Times New Roman"/>
          <w:b w:val="0"/>
          <w:sz w:val="24"/>
          <w:szCs w:val="24"/>
        </w:rPr>
        <w:t>om</w:t>
      </w:r>
      <w:r w:rsidRPr="002B299F">
        <w:rPr>
          <w:rFonts w:ascii="Times New Roman" w:hAnsi="Times New Roman"/>
          <w:b w:val="0"/>
          <w:sz w:val="24"/>
          <w:szCs w:val="24"/>
        </w:rPr>
        <w:t xml:space="preserve"> o izmjenama i dopunama Zakona o sprječavanju pranja novca i financiranja terorizma (Narodne novine, broj 151/22) donesen</w:t>
      </w:r>
      <w:r>
        <w:rPr>
          <w:rFonts w:ascii="Times New Roman" w:hAnsi="Times New Roman"/>
          <w:b w:val="0"/>
          <w:sz w:val="24"/>
          <w:szCs w:val="24"/>
        </w:rPr>
        <w:t>im</w:t>
      </w:r>
      <w:r w:rsidRPr="002B299F">
        <w:rPr>
          <w:rFonts w:ascii="Times New Roman" w:hAnsi="Times New Roman"/>
          <w:b w:val="0"/>
          <w:sz w:val="24"/>
          <w:szCs w:val="24"/>
        </w:rPr>
        <w:t xml:space="preserve"> 16. prosinca 2022. na 14. izvanrednoj sjednici Hrvatskoga sabora</w:t>
      </w:r>
      <w:r>
        <w:rPr>
          <w:rFonts w:ascii="Times New Roman" w:hAnsi="Times New Roman"/>
          <w:b w:val="0"/>
          <w:sz w:val="24"/>
          <w:szCs w:val="24"/>
        </w:rPr>
        <w:t xml:space="preserve">, </w:t>
      </w:r>
      <w:r w:rsidRPr="002B299F">
        <w:rPr>
          <w:rFonts w:ascii="Times New Roman" w:hAnsi="Times New Roman"/>
          <w:b w:val="0"/>
          <w:sz w:val="24"/>
          <w:szCs w:val="24"/>
        </w:rPr>
        <w:t>postojeći prag od 200.000,00 kuna za prijavu gotovinskih transakcija Uredu smanjen</w:t>
      </w:r>
      <w:r>
        <w:rPr>
          <w:rFonts w:ascii="Times New Roman" w:hAnsi="Times New Roman"/>
          <w:b w:val="0"/>
          <w:sz w:val="24"/>
          <w:szCs w:val="24"/>
        </w:rPr>
        <w:t xml:space="preserve"> je</w:t>
      </w:r>
      <w:r w:rsidRPr="002B299F">
        <w:rPr>
          <w:rFonts w:ascii="Times New Roman" w:hAnsi="Times New Roman"/>
          <w:b w:val="0"/>
          <w:sz w:val="24"/>
          <w:szCs w:val="24"/>
        </w:rPr>
        <w:t xml:space="preserve"> na 10.000,00 eura.</w:t>
      </w:r>
    </w:p>
    <w:p w14:paraId="49775514" w14:textId="3C1D5A85" w:rsidR="00475EF0" w:rsidRDefault="00475EF0" w:rsidP="00475EF0">
      <w:pPr>
        <w:pStyle w:val="Odlomakpopisa"/>
        <w:numPr>
          <w:ilvl w:val="0"/>
          <w:numId w:val="5"/>
        </w:numPr>
        <w:jc w:val="both"/>
        <w:rPr>
          <w:rFonts w:ascii="Times New Roman" w:hAnsi="Times New Roman"/>
          <w:b w:val="0"/>
          <w:sz w:val="24"/>
          <w:szCs w:val="24"/>
        </w:rPr>
      </w:pPr>
      <w:r>
        <w:rPr>
          <w:rFonts w:ascii="Times New Roman" w:hAnsi="Times New Roman"/>
          <w:b w:val="0"/>
          <w:sz w:val="24"/>
          <w:szCs w:val="24"/>
        </w:rPr>
        <w:t>P</w:t>
      </w:r>
      <w:r w:rsidRPr="00475EF0">
        <w:rPr>
          <w:rFonts w:ascii="Times New Roman" w:hAnsi="Times New Roman"/>
          <w:b w:val="0"/>
          <w:sz w:val="24"/>
          <w:szCs w:val="24"/>
        </w:rPr>
        <w:t>ovećan je broj spontanih obavijesti o sumnjivim transakcijama, osobama i sredstvima, koje Ured za sprječavanje pranja novca će dostavlja inozemnim finan</w:t>
      </w:r>
      <w:r>
        <w:rPr>
          <w:rFonts w:ascii="Times New Roman" w:hAnsi="Times New Roman"/>
          <w:b w:val="0"/>
          <w:sz w:val="24"/>
          <w:szCs w:val="24"/>
        </w:rPr>
        <w:t>cijsko-obavještajnim jedinicama (12 u 2020., 16 u 2021. i 37 u 2022.).</w:t>
      </w:r>
    </w:p>
    <w:p w14:paraId="4D2676DC" w14:textId="2C721E6F" w:rsidR="00475EF0" w:rsidRDefault="00475EF0" w:rsidP="00475EF0">
      <w:pPr>
        <w:pStyle w:val="Odlomakpopisa"/>
        <w:numPr>
          <w:ilvl w:val="0"/>
          <w:numId w:val="5"/>
        </w:numPr>
        <w:jc w:val="both"/>
        <w:rPr>
          <w:rFonts w:ascii="Times New Roman" w:hAnsi="Times New Roman"/>
          <w:b w:val="0"/>
          <w:sz w:val="24"/>
          <w:szCs w:val="24"/>
        </w:rPr>
      </w:pPr>
      <w:r w:rsidRPr="00475EF0">
        <w:rPr>
          <w:rFonts w:ascii="Times New Roman" w:hAnsi="Times New Roman"/>
          <w:b w:val="0"/>
          <w:sz w:val="24"/>
          <w:szCs w:val="24"/>
        </w:rPr>
        <w:t>Izdano je ukupno 8.625 prekršajnih naloga (odnose se na pravne i odgovorne osobe) za pravne subjekte koji nisu izvršili upis podataka u Registar stvarnih vlasnika.</w:t>
      </w:r>
    </w:p>
    <w:p w14:paraId="31065115" w14:textId="1FA2301E" w:rsidR="00475EF0" w:rsidRPr="002B299F" w:rsidRDefault="00475EF0" w:rsidP="00475EF0">
      <w:pPr>
        <w:pStyle w:val="Odlomakpopisa"/>
        <w:numPr>
          <w:ilvl w:val="0"/>
          <w:numId w:val="5"/>
        </w:numPr>
        <w:jc w:val="both"/>
        <w:rPr>
          <w:rFonts w:ascii="Times New Roman" w:hAnsi="Times New Roman"/>
          <w:b w:val="0"/>
          <w:sz w:val="24"/>
          <w:szCs w:val="24"/>
        </w:rPr>
      </w:pPr>
      <w:r>
        <w:rPr>
          <w:rFonts w:ascii="Times New Roman" w:hAnsi="Times New Roman"/>
          <w:b w:val="0"/>
          <w:sz w:val="24"/>
          <w:szCs w:val="24"/>
        </w:rPr>
        <w:t xml:space="preserve">Ure je dostavljao </w:t>
      </w:r>
      <w:r w:rsidRPr="00475EF0">
        <w:rPr>
          <w:rFonts w:ascii="Times New Roman" w:hAnsi="Times New Roman"/>
          <w:b w:val="0"/>
          <w:sz w:val="24"/>
          <w:szCs w:val="24"/>
        </w:rPr>
        <w:t xml:space="preserve">obavijesti o neusklađenosti podataka u Registru stvarnih vlasnika </w:t>
      </w:r>
      <w:r w:rsidR="00B32E92">
        <w:rPr>
          <w:rFonts w:ascii="Times New Roman" w:hAnsi="Times New Roman"/>
          <w:b w:val="0"/>
          <w:sz w:val="24"/>
          <w:szCs w:val="24"/>
        </w:rPr>
        <w:t>na nadležno nadzorno postupanje Poreznoj upravi.</w:t>
      </w:r>
    </w:p>
    <w:p w14:paraId="597C9263" w14:textId="77777777" w:rsidR="00FC355A" w:rsidRPr="00FC355A" w:rsidRDefault="00FC355A" w:rsidP="00FC355A">
      <w:pPr>
        <w:spacing w:after="0" w:line="240" w:lineRule="auto"/>
        <w:jc w:val="both"/>
        <w:rPr>
          <w:rFonts w:ascii="Times New Roman" w:hAnsi="Times New Roman" w:cs="Times New Roman"/>
          <w:sz w:val="24"/>
          <w:szCs w:val="24"/>
        </w:rPr>
      </w:pPr>
    </w:p>
    <w:p w14:paraId="19801186" w14:textId="7C835DF4" w:rsidR="004665E0" w:rsidRPr="006A6FE5" w:rsidRDefault="00015234" w:rsidP="003C57AF">
      <w:pPr>
        <w:pStyle w:val="Naslov3"/>
      </w:pPr>
      <w:bookmarkStart w:id="36" w:name="_Toc153353434"/>
      <w:r>
        <w:t>5.</w:t>
      </w:r>
      <w:r w:rsidR="00610A6A">
        <w:t>3</w:t>
      </w:r>
      <w:r>
        <w:t>.</w:t>
      </w:r>
      <w:r>
        <w:tab/>
      </w:r>
      <w:r w:rsidR="004665E0" w:rsidRPr="006A6FE5">
        <w:t>Međunarodn</w:t>
      </w:r>
      <w:r>
        <w:t>e</w:t>
      </w:r>
      <w:r w:rsidR="004665E0" w:rsidRPr="006A6FE5">
        <w:t xml:space="preserve"> </w:t>
      </w:r>
      <w:bookmarkEnd w:id="35"/>
      <w:r>
        <w:t>aktivnosti Ureda</w:t>
      </w:r>
      <w:bookmarkEnd w:id="36"/>
    </w:p>
    <w:p w14:paraId="7455D188" w14:textId="77777777" w:rsidR="00015234" w:rsidRDefault="00015234" w:rsidP="004665E0">
      <w:pPr>
        <w:spacing w:after="0" w:line="240" w:lineRule="auto"/>
        <w:rPr>
          <w:rFonts w:ascii="Times New Roman" w:eastAsia="Calibri" w:hAnsi="Times New Roman" w:cs="Times New Roman"/>
          <w:b/>
          <w:iCs/>
          <w:sz w:val="24"/>
          <w:szCs w:val="24"/>
          <w:lang w:eastAsia="hr-HR"/>
        </w:rPr>
      </w:pPr>
    </w:p>
    <w:p w14:paraId="3F72ADDE" w14:textId="7CA027E1" w:rsidR="00C37EEA" w:rsidRDefault="00C37EEA" w:rsidP="00C37EEA">
      <w:pPr>
        <w:spacing w:after="0" w:line="240" w:lineRule="auto"/>
        <w:rPr>
          <w:rFonts w:ascii="Times New Roman" w:eastAsia="Calibri" w:hAnsi="Times New Roman" w:cs="Times New Roman"/>
          <w:b/>
          <w:iCs/>
          <w:noProof/>
          <w:sz w:val="24"/>
          <w:szCs w:val="24"/>
          <w:lang w:eastAsia="hr-HR"/>
        </w:rPr>
      </w:pPr>
      <w:r w:rsidRPr="00C37EEA">
        <w:rPr>
          <w:rFonts w:ascii="Times New Roman" w:eastAsia="Calibri" w:hAnsi="Times New Roman" w:cs="Times New Roman"/>
          <w:b/>
          <w:iCs/>
          <w:noProof/>
          <w:sz w:val="24"/>
          <w:szCs w:val="24"/>
          <w:lang w:eastAsia="hr-HR"/>
        </w:rPr>
        <w:t>Bilateralna suradnja Ureda s inozemnim financijsko-obavještajnim jedinicama</w:t>
      </w:r>
    </w:p>
    <w:p w14:paraId="2726E7AA" w14:textId="77777777" w:rsidR="001C2B2C" w:rsidRPr="00C37EEA" w:rsidRDefault="001C2B2C" w:rsidP="00C37EEA">
      <w:pPr>
        <w:spacing w:after="0" w:line="240" w:lineRule="auto"/>
        <w:rPr>
          <w:rFonts w:ascii="Times New Roman" w:eastAsia="Calibri" w:hAnsi="Times New Roman" w:cs="Times New Roman"/>
          <w:b/>
          <w:iCs/>
          <w:noProof/>
          <w:sz w:val="24"/>
          <w:szCs w:val="24"/>
          <w:lang w:eastAsia="hr-HR"/>
        </w:rPr>
      </w:pPr>
    </w:p>
    <w:p w14:paraId="2D84EE0C" w14:textId="77777777" w:rsidR="00C37EEA" w:rsidRPr="00C37EEA" w:rsidRDefault="00C37EEA" w:rsidP="00C37EEA">
      <w:pPr>
        <w:spacing w:after="0" w:line="240" w:lineRule="auto"/>
        <w:jc w:val="both"/>
        <w:rPr>
          <w:rFonts w:ascii="Times New Roman" w:eastAsia="Calibri" w:hAnsi="Times New Roman" w:cs="Times New Roman"/>
          <w:bCs/>
          <w:iCs/>
          <w:noProof/>
          <w:sz w:val="24"/>
          <w:szCs w:val="24"/>
          <w:lang w:eastAsia="hr-HR"/>
        </w:rPr>
      </w:pPr>
      <w:r w:rsidRPr="00C37EEA">
        <w:rPr>
          <w:rFonts w:ascii="Times New Roman" w:eastAsia="Calibri" w:hAnsi="Times New Roman" w:cs="Times New Roman"/>
          <w:bCs/>
          <w:iCs/>
          <w:noProof/>
          <w:sz w:val="24"/>
          <w:szCs w:val="24"/>
          <w:lang w:eastAsia="hr-HR"/>
        </w:rPr>
        <w:t xml:space="preserve">Ured je ovlašten, sukladno odredbama članka 127. stavka 7. Zakona, s inozemnim financijsko-obavještajnim jedinicama potpisati sporazume (memorandume) o suglasnosti radi unaprjeđenja suradnje vezano za razmjenu podataka, informacija i dokumentacije u području sprječavanja pranja novca i financiranja terorizma, iako potpisivanje memoranduma o suglasnosti nije preduvjet za međunarodnu suradnju Ureda s inozemnim FOJ-evima. </w:t>
      </w:r>
    </w:p>
    <w:p w14:paraId="5FAD1860" w14:textId="77777777" w:rsidR="00C37EEA" w:rsidRPr="00C37EEA" w:rsidRDefault="00C37EEA" w:rsidP="00C37EEA">
      <w:pPr>
        <w:spacing w:after="0" w:line="240" w:lineRule="auto"/>
        <w:jc w:val="both"/>
        <w:rPr>
          <w:rFonts w:ascii="Times New Roman" w:eastAsia="Calibri" w:hAnsi="Times New Roman" w:cs="Times New Roman"/>
          <w:bCs/>
          <w:iCs/>
          <w:noProof/>
          <w:sz w:val="24"/>
          <w:szCs w:val="24"/>
          <w:lang w:eastAsia="hr-HR"/>
        </w:rPr>
      </w:pPr>
    </w:p>
    <w:p w14:paraId="0E8D08CC" w14:textId="0B7844E0" w:rsidR="00C37EEA" w:rsidRPr="00C37EEA" w:rsidRDefault="00C37EEA" w:rsidP="00C37EEA">
      <w:pPr>
        <w:spacing w:after="0" w:line="240" w:lineRule="auto"/>
        <w:jc w:val="both"/>
        <w:rPr>
          <w:rFonts w:ascii="Times New Roman" w:eastAsia="Calibri" w:hAnsi="Times New Roman" w:cs="Times New Roman"/>
          <w:bCs/>
          <w:iCs/>
          <w:noProof/>
          <w:sz w:val="24"/>
          <w:szCs w:val="24"/>
          <w:lang w:eastAsia="hr-HR"/>
        </w:rPr>
      </w:pPr>
      <w:r w:rsidRPr="00C37EEA">
        <w:rPr>
          <w:rFonts w:ascii="Times New Roman" w:eastAsia="Calibri" w:hAnsi="Times New Roman" w:cs="Times New Roman"/>
          <w:bCs/>
          <w:iCs/>
          <w:noProof/>
          <w:sz w:val="24"/>
          <w:szCs w:val="24"/>
          <w:lang w:eastAsia="hr-HR"/>
        </w:rPr>
        <w:t>Do danas, Ured je s 37 inozemnih FOJ-eva</w:t>
      </w:r>
      <w:r w:rsidRPr="00C37EEA">
        <w:rPr>
          <w:rFonts w:ascii="Calibri" w:eastAsia="Calibri" w:hAnsi="Calibri" w:cs="Times New Roman"/>
          <w:b/>
        </w:rPr>
        <w:t xml:space="preserve"> </w:t>
      </w:r>
      <w:r w:rsidRPr="00C37EEA">
        <w:rPr>
          <w:rFonts w:ascii="Times New Roman" w:eastAsia="Calibri" w:hAnsi="Times New Roman" w:cs="Times New Roman"/>
          <w:sz w:val="24"/>
          <w:szCs w:val="24"/>
        </w:rPr>
        <w:t>sklopio</w:t>
      </w:r>
      <w:r w:rsidRPr="00C37EEA">
        <w:rPr>
          <w:rFonts w:ascii="Calibri" w:eastAsia="Calibri" w:hAnsi="Calibri" w:cs="Times New Roman"/>
          <w:b/>
        </w:rPr>
        <w:t xml:space="preserve"> </w:t>
      </w:r>
      <w:r w:rsidRPr="00C37EEA">
        <w:rPr>
          <w:rFonts w:ascii="Times New Roman" w:eastAsia="Calibri" w:hAnsi="Times New Roman" w:cs="Times New Roman"/>
          <w:bCs/>
          <w:iCs/>
          <w:noProof/>
          <w:sz w:val="24"/>
          <w:szCs w:val="24"/>
          <w:lang w:eastAsia="hr-HR"/>
        </w:rPr>
        <w:t>memorandume o suglasnosti, a koji su u ime Ureda potpisani od strane predstojnika Ureda.</w:t>
      </w:r>
      <w:r w:rsidR="001C2B2C">
        <w:rPr>
          <w:rFonts w:ascii="Times New Roman" w:eastAsia="Calibri" w:hAnsi="Times New Roman" w:cs="Times New Roman"/>
          <w:bCs/>
          <w:iCs/>
          <w:noProof/>
          <w:sz w:val="24"/>
          <w:szCs w:val="24"/>
          <w:lang w:eastAsia="hr-HR"/>
        </w:rPr>
        <w:t xml:space="preserve"> </w:t>
      </w:r>
    </w:p>
    <w:p w14:paraId="53973F7E" w14:textId="77777777" w:rsidR="00C37EEA" w:rsidRPr="00C37EEA" w:rsidRDefault="00C37EEA" w:rsidP="00C37EEA">
      <w:pPr>
        <w:spacing w:after="0" w:line="240" w:lineRule="auto"/>
        <w:rPr>
          <w:rFonts w:ascii="Times New Roman" w:eastAsia="Calibri" w:hAnsi="Times New Roman" w:cs="Times New Roman"/>
          <w:b/>
          <w:iCs/>
          <w:noProof/>
          <w:sz w:val="24"/>
          <w:szCs w:val="24"/>
          <w:lang w:eastAsia="hr-HR"/>
        </w:rPr>
      </w:pPr>
    </w:p>
    <w:p w14:paraId="78D5F183" w14:textId="04ABDCF6" w:rsidR="00C37EEA" w:rsidRDefault="00C37EEA" w:rsidP="00C37EEA">
      <w:pPr>
        <w:spacing w:after="0" w:line="240" w:lineRule="auto"/>
        <w:jc w:val="both"/>
        <w:rPr>
          <w:rFonts w:ascii="Times New Roman" w:eastAsia="Calibri" w:hAnsi="Times New Roman" w:cs="Times New Roman"/>
          <w:b/>
          <w:iCs/>
          <w:noProof/>
          <w:sz w:val="24"/>
          <w:szCs w:val="24"/>
          <w:lang w:eastAsia="hr-HR"/>
        </w:rPr>
      </w:pPr>
      <w:r w:rsidRPr="00C37EEA">
        <w:rPr>
          <w:rFonts w:ascii="Times New Roman" w:eastAsia="Calibri" w:hAnsi="Times New Roman" w:cs="Times New Roman"/>
          <w:b/>
          <w:iCs/>
          <w:noProof/>
          <w:sz w:val="24"/>
          <w:szCs w:val="24"/>
          <w:lang w:eastAsia="hr-HR"/>
        </w:rPr>
        <w:t>Multilateralna suradnja Ureda</w:t>
      </w:r>
    </w:p>
    <w:p w14:paraId="50488D40" w14:textId="77777777" w:rsidR="001C2B2C" w:rsidRPr="00C37EEA" w:rsidRDefault="001C2B2C" w:rsidP="00C37EEA">
      <w:pPr>
        <w:spacing w:after="0" w:line="240" w:lineRule="auto"/>
        <w:jc w:val="both"/>
        <w:rPr>
          <w:rFonts w:ascii="Times New Roman" w:eastAsia="Calibri" w:hAnsi="Times New Roman" w:cs="Times New Roman"/>
          <w:b/>
          <w:iCs/>
          <w:noProof/>
          <w:sz w:val="24"/>
          <w:szCs w:val="24"/>
          <w:lang w:eastAsia="hr-HR"/>
        </w:rPr>
      </w:pPr>
    </w:p>
    <w:p w14:paraId="429F2FFE" w14:textId="77777777" w:rsidR="00C37EEA" w:rsidRPr="00C37EEA" w:rsidRDefault="00C37EEA" w:rsidP="00C37EEA">
      <w:pPr>
        <w:spacing w:after="0" w:line="240" w:lineRule="auto"/>
        <w:jc w:val="both"/>
        <w:rPr>
          <w:rFonts w:ascii="Times New Roman" w:eastAsia="Calibri" w:hAnsi="Times New Roman" w:cs="Times New Roman"/>
          <w:bCs/>
          <w:iCs/>
          <w:sz w:val="24"/>
          <w:szCs w:val="24"/>
        </w:rPr>
      </w:pPr>
      <w:r w:rsidRPr="00C37EEA">
        <w:rPr>
          <w:rFonts w:ascii="Times New Roman" w:eastAsia="Calibri" w:hAnsi="Times New Roman" w:cs="Times New Roman"/>
          <w:bCs/>
          <w:iCs/>
          <w:sz w:val="24"/>
          <w:szCs w:val="24"/>
        </w:rPr>
        <w:t xml:space="preserve">Radi što učinkovitije međunarodne suradnje u borbi protiv pranja novca i financiranja terorizma, Ured  je u lipnju 1998. godine postao punopravni član Egmont grupe. Egmont grupa je međunarodna organizacija nacionalnih ureda za sprječavanje pranja novca i financiranja terorizma koja obuhvaća 166 nacionalnih financijsko-obavještajnih jedinica (FIU - </w:t>
      </w:r>
      <w:r w:rsidRPr="00C37EEA">
        <w:rPr>
          <w:rFonts w:ascii="Times New Roman" w:eastAsia="Calibri" w:hAnsi="Times New Roman" w:cs="Times New Roman"/>
          <w:bCs/>
          <w:i/>
          <w:iCs/>
          <w:sz w:val="24"/>
          <w:szCs w:val="24"/>
        </w:rPr>
        <w:t>Financial Intelligence Unit</w:t>
      </w:r>
      <w:r w:rsidRPr="00C37EEA">
        <w:rPr>
          <w:rFonts w:ascii="Times New Roman" w:eastAsia="Calibri" w:hAnsi="Times New Roman" w:cs="Times New Roman"/>
          <w:bCs/>
          <w:iCs/>
          <w:sz w:val="24"/>
          <w:szCs w:val="24"/>
        </w:rPr>
        <w:t>).</w:t>
      </w:r>
    </w:p>
    <w:p w14:paraId="7000F16C" w14:textId="77777777" w:rsidR="00C37EEA" w:rsidRPr="00C37EEA" w:rsidRDefault="00C37EEA" w:rsidP="00C37EEA">
      <w:pPr>
        <w:spacing w:after="0" w:line="240" w:lineRule="auto"/>
        <w:rPr>
          <w:rFonts w:ascii="Times New Roman" w:eastAsia="Calibri" w:hAnsi="Times New Roman" w:cs="Times New Roman"/>
          <w:b/>
          <w:iCs/>
          <w:noProof/>
          <w:sz w:val="24"/>
          <w:szCs w:val="24"/>
          <w:lang w:eastAsia="hr-HR"/>
        </w:rPr>
      </w:pPr>
    </w:p>
    <w:p w14:paraId="38342ADA" w14:textId="77777777" w:rsidR="00C37EEA" w:rsidRPr="00C37EEA" w:rsidRDefault="00C37EEA" w:rsidP="00C37EEA">
      <w:pPr>
        <w:spacing w:after="0" w:line="240" w:lineRule="auto"/>
        <w:jc w:val="both"/>
        <w:rPr>
          <w:rFonts w:ascii="Times New Roman" w:eastAsia="Calibri" w:hAnsi="Times New Roman" w:cs="Times New Roman"/>
          <w:b/>
          <w:iCs/>
          <w:noProof/>
          <w:sz w:val="24"/>
          <w:szCs w:val="24"/>
          <w:lang w:eastAsia="hr-HR"/>
        </w:rPr>
      </w:pPr>
      <w:r w:rsidRPr="00C37EEA">
        <w:rPr>
          <w:rFonts w:ascii="Times New Roman" w:eastAsia="Calibri" w:hAnsi="Times New Roman" w:cs="Times New Roman"/>
          <w:b/>
          <w:iCs/>
          <w:noProof/>
          <w:sz w:val="24"/>
          <w:szCs w:val="24"/>
          <w:lang w:eastAsia="hr-HR"/>
        </w:rPr>
        <w:t>Predstavnici Ureda aktivno sudjeluju na sastancima sljedećih međunarodnih odbora i radnih skupina:</w:t>
      </w:r>
    </w:p>
    <w:p w14:paraId="445CB55A" w14:textId="77777777" w:rsidR="00C37EEA" w:rsidRPr="00C37EEA" w:rsidRDefault="00C37EEA" w:rsidP="00C37EEA">
      <w:pPr>
        <w:spacing w:after="0" w:line="240" w:lineRule="auto"/>
        <w:jc w:val="both"/>
        <w:rPr>
          <w:rFonts w:ascii="Times New Roman" w:eastAsia="Calibri" w:hAnsi="Times New Roman" w:cs="Times New Roman"/>
          <w:iCs/>
          <w:noProof/>
          <w:sz w:val="24"/>
          <w:szCs w:val="24"/>
          <w:lang w:eastAsia="hr-HR"/>
        </w:rPr>
      </w:pPr>
    </w:p>
    <w:p w14:paraId="33A61477" w14:textId="77777777" w:rsidR="00C37EEA" w:rsidRPr="00C37EEA" w:rsidRDefault="00C37EEA" w:rsidP="00C37EEA">
      <w:pPr>
        <w:spacing w:after="0" w:line="240" w:lineRule="auto"/>
        <w:jc w:val="both"/>
        <w:rPr>
          <w:rFonts w:ascii="Times New Roman" w:eastAsia="Calibri" w:hAnsi="Times New Roman" w:cs="Times New Roman"/>
          <w:b/>
          <w:iCs/>
          <w:noProof/>
          <w:sz w:val="24"/>
          <w:szCs w:val="24"/>
          <w:lang w:eastAsia="hr-HR"/>
        </w:rPr>
      </w:pPr>
      <w:r w:rsidRPr="00C37EEA">
        <w:rPr>
          <w:rFonts w:ascii="Times New Roman" w:eastAsia="Calibri" w:hAnsi="Times New Roman" w:cs="Times New Roman"/>
          <w:b/>
          <w:iCs/>
          <w:noProof/>
          <w:sz w:val="24"/>
          <w:szCs w:val="24"/>
          <w:lang w:eastAsia="hr-HR"/>
        </w:rPr>
        <w:t>EU FIU Platforma</w:t>
      </w:r>
    </w:p>
    <w:p w14:paraId="056BD9BF" w14:textId="77777777" w:rsidR="00C37EEA" w:rsidRPr="00C37EEA" w:rsidRDefault="00C37EEA" w:rsidP="00C37EEA">
      <w:pPr>
        <w:spacing w:after="0" w:line="240" w:lineRule="auto"/>
        <w:jc w:val="both"/>
        <w:rPr>
          <w:rFonts w:ascii="Times New Roman" w:eastAsia="Calibri" w:hAnsi="Times New Roman" w:cs="Times New Roman"/>
          <w:iCs/>
          <w:noProof/>
          <w:sz w:val="24"/>
          <w:szCs w:val="24"/>
          <w:lang w:eastAsia="hr-HR"/>
        </w:rPr>
      </w:pPr>
      <w:r w:rsidRPr="00C37EEA">
        <w:rPr>
          <w:rFonts w:ascii="Times New Roman" w:eastAsia="Calibri" w:hAnsi="Times New Roman" w:cs="Times New Roman"/>
          <w:iCs/>
          <w:noProof/>
          <w:sz w:val="24"/>
          <w:szCs w:val="24"/>
          <w:lang w:eastAsia="hr-HR"/>
        </w:rPr>
        <w:t xml:space="preserve">EU FIU Platforma je neformalno tijelo osnovano 2006. godine od strane Europske komisije koja ujedno sudjeluje u njenim aktivnostima. </w:t>
      </w:r>
    </w:p>
    <w:p w14:paraId="6580E0F6" w14:textId="77777777" w:rsidR="00C37EEA" w:rsidRPr="00C37EEA" w:rsidRDefault="00C37EEA" w:rsidP="00C37EEA">
      <w:pPr>
        <w:spacing w:after="0" w:line="240" w:lineRule="auto"/>
        <w:jc w:val="both"/>
        <w:rPr>
          <w:rFonts w:ascii="Times New Roman" w:eastAsia="Calibri" w:hAnsi="Times New Roman" w:cs="Times New Roman"/>
          <w:iCs/>
          <w:noProof/>
          <w:sz w:val="24"/>
          <w:szCs w:val="24"/>
          <w:lang w:eastAsia="hr-HR"/>
        </w:rPr>
      </w:pPr>
      <w:r w:rsidRPr="00C37EEA">
        <w:rPr>
          <w:rFonts w:ascii="Times New Roman" w:eastAsia="Calibri" w:hAnsi="Times New Roman" w:cs="Times New Roman"/>
          <w:iCs/>
          <w:noProof/>
          <w:sz w:val="24"/>
          <w:szCs w:val="24"/>
          <w:lang w:eastAsia="hr-HR"/>
        </w:rPr>
        <w:t>Glavna misija EU FIU Platforme je olakšati suradnju između nacionalnih FOJ i razmjenu mišljenja o pitanjima suradnje, kao što je učinkovita međunarodna suradnja FOJ, identifikacija sumnjivih transakcija s prekograničnom dimenzijom, standardizacija formata izvješćivanja putem FIU.net mreže ili njegovog sljednika, zajednička analiza prekograničnih slučajeva, kao i trendova i čimbenika relevantnih za procjenu rizika od pranja novca i financiranja terorizma kako na nacionalnoj tako i na nadnacionalnoj razini.</w:t>
      </w:r>
    </w:p>
    <w:p w14:paraId="1C43266B" w14:textId="77777777" w:rsidR="00C37EEA" w:rsidRPr="00C37EEA" w:rsidRDefault="00C37EEA" w:rsidP="00C37EEA">
      <w:pPr>
        <w:spacing w:after="0" w:line="240" w:lineRule="auto"/>
        <w:jc w:val="both"/>
        <w:rPr>
          <w:rFonts w:ascii="Times New Roman" w:eastAsia="Calibri" w:hAnsi="Times New Roman" w:cs="Times New Roman"/>
          <w:iCs/>
          <w:noProof/>
          <w:sz w:val="24"/>
          <w:szCs w:val="24"/>
          <w:lang w:eastAsia="hr-HR"/>
        </w:rPr>
      </w:pPr>
    </w:p>
    <w:p w14:paraId="5725A3AC" w14:textId="77777777" w:rsidR="00C37EEA" w:rsidRPr="00C37EEA" w:rsidRDefault="00C37EEA" w:rsidP="00C37EEA">
      <w:pPr>
        <w:spacing w:after="0" w:line="240" w:lineRule="auto"/>
        <w:jc w:val="both"/>
        <w:rPr>
          <w:rFonts w:ascii="Times New Roman" w:eastAsia="Calibri" w:hAnsi="Times New Roman" w:cs="Times New Roman"/>
          <w:iCs/>
          <w:noProof/>
          <w:sz w:val="24"/>
          <w:szCs w:val="24"/>
          <w:lang w:eastAsia="hr-HR"/>
        </w:rPr>
      </w:pPr>
      <w:r w:rsidRPr="00C37EEA">
        <w:rPr>
          <w:rFonts w:ascii="Times New Roman" w:eastAsia="Calibri" w:hAnsi="Times New Roman" w:cs="Times New Roman"/>
          <w:iCs/>
          <w:noProof/>
          <w:sz w:val="24"/>
          <w:szCs w:val="24"/>
          <w:lang w:eastAsia="hr-HR"/>
        </w:rPr>
        <w:t>U 2022. godini održana su 4 sastanka EU FIU Platforme na kojima se raspravljalo o nizu tema, a od kojih je bitno istaknuti:</w:t>
      </w:r>
    </w:p>
    <w:p w14:paraId="5A04DE4A" w14:textId="77777777" w:rsidR="00C37EEA" w:rsidRPr="00C37EEA" w:rsidRDefault="00C37EEA" w:rsidP="00C37EEA">
      <w:pPr>
        <w:spacing w:before="80" w:after="0" w:line="240" w:lineRule="auto"/>
        <w:ind w:left="426"/>
        <w:jc w:val="both"/>
        <w:rPr>
          <w:rFonts w:ascii="Times New Roman" w:eastAsia="Calibri" w:hAnsi="Times New Roman" w:cs="Times New Roman"/>
          <w:iCs/>
          <w:noProof/>
          <w:sz w:val="24"/>
          <w:szCs w:val="24"/>
          <w:lang w:eastAsia="hr-HR"/>
        </w:rPr>
      </w:pPr>
      <w:r w:rsidRPr="00C37EEA">
        <w:rPr>
          <w:rFonts w:ascii="Times New Roman" w:eastAsia="Calibri" w:hAnsi="Times New Roman" w:cs="Times New Roman"/>
          <w:iCs/>
          <w:noProof/>
          <w:sz w:val="24"/>
          <w:szCs w:val="24"/>
          <w:lang w:eastAsia="hr-HR"/>
        </w:rPr>
        <w:t>- rasprave o FIU.net mreži</w:t>
      </w:r>
    </w:p>
    <w:p w14:paraId="07D0B0CD" w14:textId="77777777" w:rsidR="00C37EEA" w:rsidRPr="00C37EEA" w:rsidRDefault="00C37EEA" w:rsidP="00C37EEA">
      <w:pPr>
        <w:spacing w:after="0" w:line="240" w:lineRule="auto"/>
        <w:ind w:left="426"/>
        <w:jc w:val="both"/>
        <w:rPr>
          <w:rFonts w:ascii="Times New Roman" w:eastAsia="Calibri" w:hAnsi="Times New Roman" w:cs="Times New Roman"/>
          <w:iCs/>
          <w:noProof/>
          <w:sz w:val="24"/>
          <w:szCs w:val="24"/>
          <w:lang w:eastAsia="hr-HR"/>
        </w:rPr>
      </w:pPr>
      <w:r w:rsidRPr="00C37EEA">
        <w:rPr>
          <w:rFonts w:ascii="Times New Roman" w:eastAsia="Calibri" w:hAnsi="Times New Roman" w:cs="Times New Roman"/>
          <w:iCs/>
          <w:noProof/>
          <w:sz w:val="24"/>
          <w:szCs w:val="24"/>
          <w:lang w:eastAsia="hr-HR"/>
        </w:rPr>
        <w:t>- predstavljanje nove generacije FIU.net mreže</w:t>
      </w:r>
    </w:p>
    <w:p w14:paraId="6C1B5BDF" w14:textId="77777777" w:rsidR="00C37EEA" w:rsidRPr="00C37EEA" w:rsidRDefault="00C37EEA" w:rsidP="00C37EEA">
      <w:pPr>
        <w:spacing w:after="0" w:line="240" w:lineRule="auto"/>
        <w:ind w:left="426"/>
        <w:jc w:val="both"/>
        <w:rPr>
          <w:rFonts w:ascii="Times New Roman" w:eastAsia="Calibri" w:hAnsi="Times New Roman" w:cs="Times New Roman"/>
          <w:iCs/>
          <w:noProof/>
          <w:sz w:val="24"/>
          <w:szCs w:val="24"/>
          <w:lang w:eastAsia="hr-HR"/>
        </w:rPr>
      </w:pPr>
      <w:r w:rsidRPr="00C37EEA">
        <w:rPr>
          <w:rFonts w:ascii="Times New Roman" w:eastAsia="Calibri" w:hAnsi="Times New Roman" w:cs="Times New Roman"/>
          <w:iCs/>
          <w:noProof/>
          <w:sz w:val="24"/>
          <w:szCs w:val="24"/>
          <w:lang w:eastAsia="hr-HR"/>
        </w:rPr>
        <w:t>- provedbu plana rada EU FIU Platforme za razdoblje 2022-2023</w:t>
      </w:r>
    </w:p>
    <w:p w14:paraId="70A06B13" w14:textId="77777777" w:rsidR="00C37EEA" w:rsidRPr="00C37EEA" w:rsidRDefault="00C37EEA" w:rsidP="00C37EEA">
      <w:pPr>
        <w:spacing w:after="0" w:line="240" w:lineRule="auto"/>
        <w:ind w:left="426"/>
        <w:jc w:val="both"/>
        <w:rPr>
          <w:rFonts w:ascii="Times New Roman" w:eastAsia="Calibri" w:hAnsi="Times New Roman" w:cs="Times New Roman"/>
          <w:iCs/>
          <w:noProof/>
          <w:sz w:val="24"/>
          <w:szCs w:val="24"/>
          <w:lang w:eastAsia="hr-HR"/>
        </w:rPr>
      </w:pPr>
      <w:r w:rsidRPr="00C37EEA">
        <w:rPr>
          <w:rFonts w:ascii="Times New Roman" w:eastAsia="Calibri" w:hAnsi="Times New Roman" w:cs="Times New Roman"/>
          <w:iCs/>
          <w:noProof/>
          <w:sz w:val="24"/>
          <w:szCs w:val="24"/>
          <w:lang w:eastAsia="hr-HR"/>
        </w:rPr>
        <w:t>- suradnju između financijsko-obavještajnih jedinica i EU institucija, agencija i tijela</w:t>
      </w:r>
    </w:p>
    <w:p w14:paraId="5538BBDA" w14:textId="77777777" w:rsidR="00C37EEA" w:rsidRPr="00C37EEA" w:rsidRDefault="00C37EEA" w:rsidP="00C37EEA">
      <w:pPr>
        <w:spacing w:after="0" w:line="240" w:lineRule="auto"/>
        <w:ind w:left="426"/>
        <w:jc w:val="both"/>
        <w:rPr>
          <w:rFonts w:ascii="Times New Roman" w:eastAsia="Calibri" w:hAnsi="Times New Roman" w:cs="Times New Roman"/>
          <w:iCs/>
          <w:noProof/>
          <w:sz w:val="24"/>
          <w:szCs w:val="24"/>
          <w:lang w:eastAsia="hr-HR"/>
        </w:rPr>
      </w:pPr>
      <w:r w:rsidRPr="00C37EEA">
        <w:rPr>
          <w:rFonts w:ascii="Times New Roman" w:eastAsia="Calibri" w:hAnsi="Times New Roman" w:cs="Times New Roman"/>
          <w:iCs/>
          <w:noProof/>
          <w:sz w:val="24"/>
          <w:szCs w:val="24"/>
          <w:lang w:eastAsia="hr-HR"/>
        </w:rPr>
        <w:t>- suradnju između financijsko-obavještajnih jedinica EU i financijsko-obavještajnih jedinica trećih država</w:t>
      </w:r>
    </w:p>
    <w:p w14:paraId="7C8B6F16" w14:textId="77777777" w:rsidR="00C37EEA" w:rsidRPr="00C37EEA" w:rsidRDefault="00C37EEA" w:rsidP="00C37EEA">
      <w:pPr>
        <w:spacing w:after="0" w:line="240" w:lineRule="auto"/>
        <w:ind w:left="426"/>
        <w:jc w:val="both"/>
        <w:rPr>
          <w:rFonts w:ascii="Times New Roman" w:eastAsia="Calibri" w:hAnsi="Times New Roman" w:cs="Times New Roman"/>
          <w:iCs/>
          <w:noProof/>
          <w:sz w:val="24"/>
          <w:szCs w:val="24"/>
          <w:lang w:eastAsia="hr-HR"/>
        </w:rPr>
      </w:pPr>
      <w:r w:rsidRPr="00C37EEA">
        <w:rPr>
          <w:rFonts w:ascii="Times New Roman" w:eastAsia="Calibri" w:hAnsi="Times New Roman" w:cs="Times New Roman"/>
          <w:iCs/>
          <w:noProof/>
          <w:sz w:val="24"/>
          <w:szCs w:val="24"/>
          <w:lang w:eastAsia="hr-HR"/>
        </w:rPr>
        <w:t>- prezentacije brojnih projekata Europske komisije.</w:t>
      </w:r>
    </w:p>
    <w:p w14:paraId="0C31977B" w14:textId="77777777" w:rsidR="00C37EEA" w:rsidRPr="00C37EEA" w:rsidRDefault="00C37EEA" w:rsidP="00C37EEA">
      <w:pPr>
        <w:spacing w:after="0" w:line="240" w:lineRule="auto"/>
        <w:jc w:val="both"/>
        <w:rPr>
          <w:rFonts w:ascii="Times New Roman" w:eastAsia="Calibri" w:hAnsi="Times New Roman" w:cs="Times New Roman"/>
          <w:iCs/>
          <w:noProof/>
          <w:sz w:val="24"/>
          <w:szCs w:val="24"/>
          <w:lang w:eastAsia="hr-HR"/>
        </w:rPr>
      </w:pPr>
    </w:p>
    <w:p w14:paraId="6D4BDA64" w14:textId="77777777" w:rsidR="00C37EEA" w:rsidRPr="00C37EEA" w:rsidRDefault="00C37EEA" w:rsidP="00C37EEA">
      <w:pPr>
        <w:spacing w:after="0" w:line="240" w:lineRule="auto"/>
        <w:jc w:val="both"/>
        <w:rPr>
          <w:rFonts w:ascii="Times New Roman" w:eastAsia="Calibri" w:hAnsi="Times New Roman" w:cs="Times New Roman"/>
          <w:b/>
          <w:iCs/>
          <w:sz w:val="24"/>
          <w:szCs w:val="24"/>
          <w:lang w:eastAsia="hr-HR"/>
        </w:rPr>
      </w:pPr>
      <w:r w:rsidRPr="00C37EEA">
        <w:rPr>
          <w:rFonts w:ascii="Times New Roman" w:eastAsia="Calibri" w:hAnsi="Times New Roman" w:cs="Times New Roman"/>
          <w:b/>
          <w:iCs/>
          <w:sz w:val="24"/>
          <w:szCs w:val="24"/>
          <w:lang w:eastAsia="hr-HR"/>
        </w:rPr>
        <w:t>Skupina EGMLTF</w:t>
      </w:r>
    </w:p>
    <w:p w14:paraId="120622B2" w14:textId="77777777" w:rsidR="00C37EEA" w:rsidRPr="00C37EEA" w:rsidRDefault="00C37EEA" w:rsidP="00C37EEA">
      <w:pPr>
        <w:spacing w:after="0" w:line="240" w:lineRule="auto"/>
        <w:jc w:val="both"/>
        <w:rPr>
          <w:rFonts w:ascii="Times New Roman" w:eastAsia="Calibri" w:hAnsi="Times New Roman" w:cs="Times New Roman"/>
          <w:iCs/>
          <w:sz w:val="24"/>
          <w:szCs w:val="24"/>
          <w:lang w:eastAsia="hr-HR"/>
        </w:rPr>
      </w:pPr>
      <w:r w:rsidRPr="00C37EEA">
        <w:rPr>
          <w:rFonts w:ascii="Times New Roman" w:eastAsia="Calibri" w:hAnsi="Times New Roman" w:cs="Times New Roman"/>
          <w:iCs/>
          <w:sz w:val="24"/>
          <w:szCs w:val="24"/>
          <w:lang w:eastAsia="hr-HR"/>
        </w:rPr>
        <w:t xml:space="preserve">Članovi Skupine stručnjaka za sprječavanje pranja novca i financiranja terorizma (eng. </w:t>
      </w:r>
      <w:r w:rsidRPr="00C37EEA">
        <w:rPr>
          <w:rFonts w:ascii="Times New Roman" w:eastAsia="Calibri" w:hAnsi="Times New Roman" w:cs="Times New Roman"/>
          <w:i/>
          <w:iCs/>
          <w:sz w:val="24"/>
          <w:szCs w:val="24"/>
          <w:lang w:eastAsia="hr-HR"/>
        </w:rPr>
        <w:t>Expert group on Anti-Money Laundering and Terrorism Financing</w:t>
      </w:r>
      <w:r w:rsidRPr="00C37EEA">
        <w:rPr>
          <w:rFonts w:ascii="Times New Roman" w:eastAsia="Calibri" w:hAnsi="Times New Roman" w:cs="Times New Roman"/>
          <w:iCs/>
          <w:sz w:val="24"/>
          <w:szCs w:val="24"/>
          <w:lang w:eastAsia="hr-HR"/>
        </w:rPr>
        <w:t xml:space="preserve"> - EGMLTF) predstavnici su visoke administrativne razine odgovorne za sprječavanje pranja novca i financiranje terorizma u državama članicama EU i zemljama EEA. </w:t>
      </w:r>
    </w:p>
    <w:p w14:paraId="5D0F02CD" w14:textId="77777777" w:rsidR="00C37EEA" w:rsidRPr="00C37EEA" w:rsidRDefault="00C37EEA" w:rsidP="00610A6A">
      <w:pPr>
        <w:spacing w:after="0" w:line="240" w:lineRule="auto"/>
        <w:jc w:val="both"/>
        <w:rPr>
          <w:rFonts w:ascii="Times New Roman" w:eastAsia="Calibri" w:hAnsi="Times New Roman" w:cs="Times New Roman"/>
          <w:iCs/>
          <w:sz w:val="24"/>
          <w:szCs w:val="24"/>
          <w:lang w:eastAsia="hr-HR"/>
        </w:rPr>
      </w:pPr>
      <w:r w:rsidRPr="00C37EEA">
        <w:rPr>
          <w:rFonts w:ascii="Times New Roman" w:eastAsia="Calibri" w:hAnsi="Times New Roman" w:cs="Times New Roman"/>
          <w:iCs/>
          <w:sz w:val="24"/>
          <w:szCs w:val="24"/>
          <w:lang w:eastAsia="hr-HR"/>
        </w:rPr>
        <w:t>Stručna skupina djeluje u neformalnom okruženju, a zadaće su joj sljedeće:</w:t>
      </w:r>
    </w:p>
    <w:p w14:paraId="23EB4E1D" w14:textId="77777777" w:rsidR="00C37EEA" w:rsidRPr="00C37EEA" w:rsidRDefault="00C37EEA" w:rsidP="00610A6A">
      <w:pPr>
        <w:spacing w:after="0" w:line="240" w:lineRule="auto"/>
        <w:ind w:left="425"/>
        <w:jc w:val="both"/>
        <w:rPr>
          <w:rFonts w:ascii="Times New Roman" w:eastAsia="Calibri" w:hAnsi="Times New Roman" w:cs="Times New Roman"/>
          <w:iCs/>
          <w:sz w:val="24"/>
          <w:szCs w:val="24"/>
          <w:lang w:eastAsia="hr-HR"/>
        </w:rPr>
      </w:pPr>
      <w:r w:rsidRPr="00C37EEA">
        <w:rPr>
          <w:rFonts w:ascii="Times New Roman" w:eastAsia="Calibri" w:hAnsi="Times New Roman" w:cs="Times New Roman"/>
          <w:iCs/>
          <w:sz w:val="24"/>
          <w:szCs w:val="24"/>
          <w:lang w:eastAsia="hr-HR"/>
        </w:rPr>
        <w:t>- podrška Europskoj komisiji u pripremi delegiranih akata</w:t>
      </w:r>
    </w:p>
    <w:p w14:paraId="152067A2" w14:textId="77777777" w:rsidR="00C37EEA" w:rsidRPr="00C37EEA" w:rsidRDefault="00C37EEA" w:rsidP="00610A6A">
      <w:pPr>
        <w:spacing w:after="0" w:line="240" w:lineRule="auto"/>
        <w:ind w:left="426"/>
        <w:contextualSpacing/>
        <w:jc w:val="both"/>
        <w:rPr>
          <w:rFonts w:ascii="Times New Roman" w:eastAsia="Calibri" w:hAnsi="Times New Roman" w:cs="Times New Roman"/>
          <w:iCs/>
          <w:sz w:val="24"/>
          <w:szCs w:val="24"/>
          <w:lang w:eastAsia="hr-HR"/>
        </w:rPr>
      </w:pPr>
      <w:r w:rsidRPr="00C37EEA">
        <w:rPr>
          <w:rFonts w:ascii="Times New Roman" w:eastAsia="Calibri" w:hAnsi="Times New Roman" w:cs="Times New Roman"/>
          <w:iCs/>
          <w:sz w:val="24"/>
          <w:szCs w:val="24"/>
          <w:lang w:eastAsia="hr-HR"/>
        </w:rPr>
        <w:t>- podrška Europskoj komisiji u pripremi zakonodavnih prijedloga i političkih inicijativa</w:t>
      </w:r>
    </w:p>
    <w:p w14:paraId="17347511" w14:textId="77777777" w:rsidR="00C37EEA" w:rsidRPr="00C37EEA" w:rsidRDefault="00C37EEA" w:rsidP="00610A6A">
      <w:pPr>
        <w:spacing w:after="0" w:line="240" w:lineRule="auto"/>
        <w:ind w:left="426"/>
        <w:contextualSpacing/>
        <w:jc w:val="both"/>
        <w:rPr>
          <w:rFonts w:ascii="Times New Roman" w:eastAsia="Calibri" w:hAnsi="Times New Roman" w:cs="Times New Roman"/>
          <w:iCs/>
          <w:sz w:val="24"/>
          <w:szCs w:val="24"/>
          <w:lang w:eastAsia="hr-HR"/>
        </w:rPr>
      </w:pPr>
      <w:r w:rsidRPr="00C37EEA">
        <w:rPr>
          <w:rFonts w:ascii="Times New Roman" w:eastAsia="Calibri" w:hAnsi="Times New Roman" w:cs="Times New Roman"/>
          <w:iCs/>
          <w:sz w:val="24"/>
          <w:szCs w:val="24"/>
          <w:lang w:eastAsia="hr-HR"/>
        </w:rPr>
        <w:t xml:space="preserve">- koordinacija i razmjena mišljenja među DČ. </w:t>
      </w:r>
    </w:p>
    <w:p w14:paraId="527BBE07" w14:textId="77777777" w:rsidR="00C37EEA" w:rsidRPr="00C37EEA" w:rsidRDefault="00C37EEA" w:rsidP="00C37EEA">
      <w:pPr>
        <w:spacing w:after="0" w:line="240" w:lineRule="auto"/>
        <w:ind w:left="1224"/>
        <w:contextualSpacing/>
        <w:jc w:val="both"/>
        <w:rPr>
          <w:rFonts w:ascii="Times New Roman" w:eastAsia="Calibri" w:hAnsi="Times New Roman" w:cs="Times New Roman"/>
          <w:iCs/>
          <w:sz w:val="24"/>
          <w:szCs w:val="24"/>
          <w:lang w:eastAsia="hr-HR"/>
        </w:rPr>
      </w:pPr>
      <w:r w:rsidRPr="00C37EEA">
        <w:rPr>
          <w:rFonts w:ascii="Times New Roman" w:eastAsia="Calibri" w:hAnsi="Times New Roman" w:cs="Times New Roman"/>
          <w:iCs/>
          <w:sz w:val="24"/>
          <w:szCs w:val="24"/>
          <w:lang w:eastAsia="hr-HR"/>
        </w:rPr>
        <w:t xml:space="preserve"> </w:t>
      </w:r>
    </w:p>
    <w:p w14:paraId="7035FCDD" w14:textId="77777777" w:rsidR="00C37EEA" w:rsidRPr="00C37EEA" w:rsidRDefault="00C37EEA" w:rsidP="00C37EEA">
      <w:pPr>
        <w:spacing w:after="0" w:line="240" w:lineRule="auto"/>
        <w:jc w:val="both"/>
        <w:rPr>
          <w:rFonts w:ascii="Times New Roman" w:eastAsia="Calibri" w:hAnsi="Times New Roman" w:cs="Times New Roman"/>
          <w:iCs/>
          <w:sz w:val="24"/>
          <w:szCs w:val="24"/>
          <w:lang w:eastAsia="hr-HR"/>
        </w:rPr>
      </w:pPr>
      <w:r w:rsidRPr="00C37EEA">
        <w:rPr>
          <w:rFonts w:ascii="Times New Roman" w:eastAsia="Calibri" w:hAnsi="Times New Roman" w:cs="Times New Roman"/>
          <w:iCs/>
          <w:sz w:val="24"/>
          <w:szCs w:val="24"/>
          <w:lang w:eastAsia="hr-HR"/>
        </w:rPr>
        <w:t>U 2022. godini održana su 4 EGMLTF sastanaka na kojima se raspravljalo o nizu tema, a od kojih je bitno istaknuti:</w:t>
      </w:r>
    </w:p>
    <w:p w14:paraId="6232A0D2" w14:textId="77777777" w:rsidR="00C37EEA" w:rsidRPr="00C37EEA" w:rsidRDefault="00C37EEA" w:rsidP="00C37EEA">
      <w:pPr>
        <w:spacing w:before="80" w:after="0" w:line="240" w:lineRule="auto"/>
        <w:ind w:left="426"/>
        <w:jc w:val="both"/>
        <w:rPr>
          <w:rFonts w:ascii="Times New Roman" w:eastAsia="Calibri" w:hAnsi="Times New Roman" w:cs="Times New Roman"/>
          <w:iCs/>
          <w:sz w:val="24"/>
          <w:szCs w:val="24"/>
          <w:lang w:eastAsia="hr-HR"/>
        </w:rPr>
      </w:pPr>
      <w:r w:rsidRPr="00C37EEA">
        <w:rPr>
          <w:rFonts w:ascii="Times New Roman" w:eastAsia="Calibri" w:hAnsi="Times New Roman" w:cs="Times New Roman"/>
          <w:iCs/>
          <w:sz w:val="24"/>
          <w:szCs w:val="24"/>
          <w:lang w:eastAsia="hr-HR"/>
        </w:rPr>
        <w:t>- pripreme za plenarne sjednice FATF-a i MONEYVAL-a</w:t>
      </w:r>
    </w:p>
    <w:p w14:paraId="4B507FEA" w14:textId="77777777" w:rsidR="00C37EEA" w:rsidRPr="00C37EEA" w:rsidRDefault="00C37EEA" w:rsidP="00C37EEA">
      <w:pPr>
        <w:spacing w:after="0" w:line="240" w:lineRule="auto"/>
        <w:ind w:left="426"/>
        <w:jc w:val="both"/>
        <w:rPr>
          <w:rFonts w:ascii="Times New Roman" w:eastAsia="Calibri" w:hAnsi="Times New Roman" w:cs="Times New Roman"/>
          <w:iCs/>
          <w:sz w:val="24"/>
          <w:szCs w:val="24"/>
          <w:lang w:eastAsia="hr-HR"/>
        </w:rPr>
      </w:pPr>
      <w:r w:rsidRPr="00C37EEA">
        <w:rPr>
          <w:rFonts w:ascii="Times New Roman" w:eastAsia="Calibri" w:hAnsi="Times New Roman" w:cs="Times New Roman"/>
          <w:iCs/>
          <w:sz w:val="24"/>
          <w:szCs w:val="24"/>
          <w:lang w:eastAsia="hr-HR"/>
        </w:rPr>
        <w:t>- Nadnacionalnu procjena rizika od pranja novca i financiranja terorizma</w:t>
      </w:r>
    </w:p>
    <w:p w14:paraId="6A4815DD" w14:textId="77777777" w:rsidR="00C37EEA" w:rsidRPr="00C37EEA" w:rsidRDefault="00C37EEA" w:rsidP="00C37EEA">
      <w:pPr>
        <w:spacing w:after="0" w:line="240" w:lineRule="auto"/>
        <w:ind w:left="426"/>
        <w:jc w:val="both"/>
        <w:rPr>
          <w:rFonts w:ascii="Times New Roman" w:eastAsia="Calibri" w:hAnsi="Times New Roman" w:cs="Times New Roman"/>
          <w:iCs/>
          <w:sz w:val="24"/>
          <w:szCs w:val="24"/>
          <w:lang w:eastAsia="hr-HR"/>
        </w:rPr>
      </w:pPr>
      <w:r w:rsidRPr="00C37EEA">
        <w:rPr>
          <w:rFonts w:ascii="Times New Roman" w:eastAsia="Calibri" w:hAnsi="Times New Roman" w:cs="Times New Roman"/>
          <w:iCs/>
          <w:sz w:val="24"/>
          <w:szCs w:val="24"/>
          <w:lang w:eastAsia="hr-HR"/>
        </w:rPr>
        <w:t>- AML Akcijski plan EU</w:t>
      </w:r>
    </w:p>
    <w:p w14:paraId="6A7BA1AA" w14:textId="77777777" w:rsidR="00C37EEA" w:rsidRPr="00C37EEA" w:rsidRDefault="00C37EEA" w:rsidP="00C37EEA">
      <w:pPr>
        <w:spacing w:after="0" w:line="240" w:lineRule="auto"/>
        <w:ind w:left="426"/>
        <w:jc w:val="both"/>
        <w:rPr>
          <w:rFonts w:ascii="Times New Roman" w:eastAsia="Calibri" w:hAnsi="Times New Roman" w:cs="Times New Roman"/>
          <w:iCs/>
          <w:sz w:val="24"/>
          <w:szCs w:val="24"/>
          <w:lang w:eastAsia="hr-HR"/>
        </w:rPr>
      </w:pPr>
      <w:r w:rsidRPr="00C37EEA">
        <w:rPr>
          <w:rFonts w:ascii="Times New Roman" w:eastAsia="Calibri" w:hAnsi="Times New Roman" w:cs="Times New Roman"/>
          <w:iCs/>
          <w:sz w:val="24"/>
          <w:szCs w:val="24"/>
          <w:lang w:eastAsia="hr-HR"/>
        </w:rPr>
        <w:t>- plan rada EU FIU Platforme za razdoblje 2022-2023</w:t>
      </w:r>
    </w:p>
    <w:p w14:paraId="23F5E38E" w14:textId="77777777" w:rsidR="00C37EEA" w:rsidRPr="00C37EEA" w:rsidRDefault="00C37EEA" w:rsidP="00C37EEA">
      <w:pPr>
        <w:spacing w:after="0" w:line="240" w:lineRule="auto"/>
        <w:ind w:left="426"/>
        <w:jc w:val="both"/>
        <w:rPr>
          <w:rFonts w:ascii="Times New Roman" w:eastAsia="Calibri" w:hAnsi="Times New Roman" w:cs="Times New Roman"/>
          <w:iCs/>
          <w:sz w:val="24"/>
          <w:szCs w:val="24"/>
          <w:lang w:eastAsia="hr-HR"/>
        </w:rPr>
      </w:pPr>
      <w:r w:rsidRPr="00C37EEA">
        <w:rPr>
          <w:rFonts w:ascii="Times New Roman" w:eastAsia="Calibri" w:hAnsi="Times New Roman" w:cs="Times New Roman"/>
          <w:iCs/>
          <w:sz w:val="24"/>
          <w:szCs w:val="24"/>
          <w:lang w:eastAsia="hr-HR"/>
        </w:rPr>
        <w:t>- dokument Europske komisije o javno-privatnim partnerstvima.</w:t>
      </w:r>
    </w:p>
    <w:p w14:paraId="2B278E89" w14:textId="3D6899FD" w:rsidR="00C37EEA" w:rsidRDefault="00C37EEA" w:rsidP="00C37EEA">
      <w:pPr>
        <w:spacing w:after="0" w:line="240" w:lineRule="auto"/>
        <w:jc w:val="both"/>
        <w:rPr>
          <w:rFonts w:ascii="Times New Roman" w:eastAsia="Calibri" w:hAnsi="Times New Roman" w:cs="Times New Roman"/>
          <w:iCs/>
          <w:noProof/>
          <w:sz w:val="24"/>
          <w:szCs w:val="24"/>
          <w:lang w:eastAsia="hr-HR"/>
        </w:rPr>
      </w:pPr>
    </w:p>
    <w:p w14:paraId="0A494E39" w14:textId="77777777" w:rsidR="00375117" w:rsidRDefault="00375117" w:rsidP="00C37EEA">
      <w:pPr>
        <w:spacing w:after="0" w:line="240" w:lineRule="auto"/>
        <w:jc w:val="both"/>
        <w:rPr>
          <w:rFonts w:ascii="Times New Roman" w:eastAsia="Calibri" w:hAnsi="Times New Roman" w:cs="Times New Roman"/>
          <w:iCs/>
          <w:noProof/>
          <w:sz w:val="24"/>
          <w:szCs w:val="24"/>
          <w:lang w:eastAsia="hr-HR"/>
        </w:rPr>
      </w:pPr>
    </w:p>
    <w:p w14:paraId="2793F058" w14:textId="5EDE1E9D" w:rsidR="00C37EEA" w:rsidRPr="00C37EEA" w:rsidRDefault="00C37EEA" w:rsidP="00C37EEA">
      <w:pPr>
        <w:spacing w:after="0" w:line="240" w:lineRule="auto"/>
        <w:jc w:val="both"/>
        <w:rPr>
          <w:rFonts w:ascii="Times New Roman" w:eastAsia="Calibri" w:hAnsi="Times New Roman" w:cs="Times New Roman"/>
          <w:b/>
          <w:iCs/>
          <w:noProof/>
          <w:sz w:val="24"/>
          <w:szCs w:val="24"/>
          <w:lang w:eastAsia="hr-HR"/>
        </w:rPr>
      </w:pPr>
      <w:r w:rsidRPr="00C37EEA">
        <w:rPr>
          <w:rFonts w:ascii="Times New Roman" w:eastAsia="Calibri" w:hAnsi="Times New Roman" w:cs="Times New Roman"/>
          <w:b/>
          <w:iCs/>
          <w:noProof/>
          <w:sz w:val="24"/>
          <w:szCs w:val="24"/>
          <w:lang w:eastAsia="hr-HR"/>
        </w:rPr>
        <w:t>Odbor za sprečavanje pranja novca i financiranja terorizma (Odbor CPMLTF)</w:t>
      </w:r>
    </w:p>
    <w:p w14:paraId="717819E3" w14:textId="77777777" w:rsidR="00C37EEA" w:rsidRPr="00C37EEA" w:rsidRDefault="00C37EEA" w:rsidP="00C37EEA">
      <w:pPr>
        <w:spacing w:after="0" w:line="240" w:lineRule="auto"/>
        <w:jc w:val="both"/>
        <w:rPr>
          <w:rFonts w:ascii="Times New Roman" w:eastAsia="Calibri" w:hAnsi="Times New Roman" w:cs="Times New Roman"/>
          <w:iCs/>
          <w:noProof/>
          <w:sz w:val="24"/>
          <w:szCs w:val="24"/>
          <w:lang w:eastAsia="hr-HR"/>
        </w:rPr>
      </w:pPr>
      <w:r w:rsidRPr="00C37EEA">
        <w:rPr>
          <w:rFonts w:ascii="Times New Roman" w:eastAsia="Calibri" w:hAnsi="Times New Roman" w:cs="Times New Roman"/>
          <w:iCs/>
          <w:noProof/>
          <w:sz w:val="24"/>
          <w:szCs w:val="24"/>
          <w:lang w:eastAsia="hr-HR"/>
        </w:rPr>
        <w:t>Odbor CPMLTF osnovan je od strane Europske komisije s ciljem koordinacije država članica u procesu međusobnog povezivanja nacionalnih registara stvarnih vlasnika, a u 2022. godini održano je ukupno 6 sastanaka.</w:t>
      </w:r>
    </w:p>
    <w:p w14:paraId="02384266" w14:textId="77777777" w:rsidR="00C37EEA" w:rsidRPr="00C37EEA" w:rsidRDefault="00C37EEA" w:rsidP="00C37EEA">
      <w:pPr>
        <w:spacing w:after="0" w:line="240" w:lineRule="auto"/>
        <w:jc w:val="both"/>
        <w:rPr>
          <w:rFonts w:ascii="Times New Roman" w:eastAsia="Calibri" w:hAnsi="Times New Roman" w:cs="Times New Roman"/>
          <w:iCs/>
          <w:noProof/>
          <w:sz w:val="24"/>
          <w:szCs w:val="24"/>
          <w:lang w:eastAsia="hr-HR"/>
        </w:rPr>
      </w:pPr>
    </w:p>
    <w:p w14:paraId="574F9E43" w14:textId="56F4A3AF" w:rsidR="00C37EEA" w:rsidRPr="00C37EEA" w:rsidRDefault="00C37EEA" w:rsidP="00C37EEA">
      <w:pPr>
        <w:spacing w:after="0" w:line="240" w:lineRule="auto"/>
        <w:jc w:val="both"/>
        <w:rPr>
          <w:rFonts w:ascii="Times New Roman" w:eastAsia="Calibri" w:hAnsi="Times New Roman" w:cs="Times New Roman"/>
          <w:b/>
          <w:iCs/>
          <w:noProof/>
          <w:sz w:val="24"/>
          <w:szCs w:val="24"/>
          <w:lang w:eastAsia="hr-HR"/>
        </w:rPr>
      </w:pPr>
      <w:r w:rsidRPr="00C37EEA">
        <w:rPr>
          <w:rFonts w:ascii="Times New Roman" w:eastAsia="Calibri" w:hAnsi="Times New Roman" w:cs="Times New Roman"/>
          <w:b/>
          <w:iCs/>
          <w:noProof/>
          <w:sz w:val="24"/>
          <w:szCs w:val="24"/>
          <w:lang w:eastAsia="hr-HR"/>
        </w:rPr>
        <w:t xml:space="preserve">Odbor Vijeća Europe MONEYVAL </w:t>
      </w:r>
    </w:p>
    <w:p w14:paraId="24776681" w14:textId="77777777" w:rsidR="00C37EEA" w:rsidRPr="00C37EEA" w:rsidRDefault="00C37EEA" w:rsidP="00C37EEA">
      <w:pPr>
        <w:spacing w:after="0" w:line="240" w:lineRule="auto"/>
        <w:jc w:val="both"/>
        <w:rPr>
          <w:rFonts w:ascii="Times New Roman" w:eastAsia="Calibri" w:hAnsi="Times New Roman" w:cs="Times New Roman"/>
          <w:bCs/>
          <w:iCs/>
          <w:noProof/>
          <w:sz w:val="24"/>
          <w:szCs w:val="24"/>
          <w:lang w:eastAsia="hr-HR"/>
        </w:rPr>
      </w:pPr>
      <w:r w:rsidRPr="00C37EEA">
        <w:rPr>
          <w:rFonts w:ascii="Times New Roman" w:eastAsia="Calibri" w:hAnsi="Times New Roman" w:cs="Times New Roman"/>
          <w:bCs/>
          <w:iCs/>
          <w:noProof/>
          <w:sz w:val="24"/>
          <w:szCs w:val="24"/>
          <w:lang w:eastAsia="hr-HR"/>
        </w:rPr>
        <w:t>Sukladno odluci MIRS, RH je u Odboru Vijeća Europe MONEYVAL (</w:t>
      </w:r>
      <w:r w:rsidRPr="00C37EEA">
        <w:rPr>
          <w:rFonts w:ascii="Times New Roman" w:eastAsia="Calibri" w:hAnsi="Times New Roman" w:cs="Times New Roman"/>
          <w:bCs/>
          <w:i/>
          <w:iCs/>
          <w:noProof/>
          <w:sz w:val="24"/>
          <w:szCs w:val="24"/>
          <w:lang w:eastAsia="hr-HR"/>
        </w:rPr>
        <w:t>Odbor stručnjaka za procjenu mjera protiv pranja novca i financiranja terorizma</w:t>
      </w:r>
      <w:r w:rsidRPr="00C37EEA">
        <w:rPr>
          <w:rFonts w:ascii="Times New Roman" w:eastAsia="Calibri" w:hAnsi="Times New Roman" w:cs="Times New Roman"/>
          <w:bCs/>
          <w:iCs/>
          <w:noProof/>
          <w:sz w:val="24"/>
          <w:szCs w:val="24"/>
          <w:lang w:eastAsia="hr-HR"/>
        </w:rPr>
        <w:t xml:space="preserve">) zastupljena kroz stalnu tročlanu delegaciju koja se po potrebi proširuje dodatnim predstavnicima. Stalnu delegaciju čine predstavnici Ureda, MUP-a i DORH-a. Predstavnik Ureda voditelj je hrvatske delegacije pri Odboru MONEYVAL. </w:t>
      </w:r>
    </w:p>
    <w:p w14:paraId="39A71DAF" w14:textId="77777777" w:rsidR="00610A6A" w:rsidRDefault="00610A6A" w:rsidP="00C37EEA">
      <w:pPr>
        <w:spacing w:after="0" w:line="240" w:lineRule="auto"/>
        <w:jc w:val="both"/>
        <w:rPr>
          <w:rFonts w:ascii="Times New Roman" w:eastAsia="Calibri" w:hAnsi="Times New Roman" w:cs="Times New Roman"/>
          <w:bCs/>
          <w:iCs/>
          <w:noProof/>
          <w:sz w:val="24"/>
          <w:szCs w:val="24"/>
          <w:lang w:eastAsia="hr-HR"/>
        </w:rPr>
      </w:pPr>
    </w:p>
    <w:p w14:paraId="1B8C1BAA" w14:textId="517CBE8E" w:rsidR="00C37EEA" w:rsidRPr="00C37EEA" w:rsidRDefault="00C37EEA" w:rsidP="00C37EEA">
      <w:pPr>
        <w:spacing w:after="0" w:line="240" w:lineRule="auto"/>
        <w:jc w:val="both"/>
        <w:rPr>
          <w:rFonts w:ascii="Times New Roman" w:eastAsia="Calibri" w:hAnsi="Times New Roman" w:cs="Times New Roman"/>
          <w:bCs/>
          <w:iCs/>
          <w:sz w:val="24"/>
          <w:szCs w:val="24"/>
          <w:lang w:eastAsia="hr-HR"/>
        </w:rPr>
      </w:pPr>
      <w:r w:rsidRPr="00C37EEA">
        <w:rPr>
          <w:rFonts w:ascii="Times New Roman" w:eastAsia="Calibri" w:hAnsi="Times New Roman" w:cs="Times New Roman"/>
          <w:bCs/>
          <w:iCs/>
          <w:sz w:val="24"/>
          <w:szCs w:val="24"/>
          <w:lang w:eastAsia="hr-HR"/>
        </w:rPr>
        <w:t xml:space="preserve">U 2022. godini održane su 2 plenarne sjednice Odbora Vijeća Europe MONEYVAL. </w:t>
      </w:r>
    </w:p>
    <w:p w14:paraId="690E0B24" w14:textId="77777777" w:rsidR="00C37EEA" w:rsidRPr="00C37EEA" w:rsidRDefault="00C37EEA" w:rsidP="00C37EEA">
      <w:pPr>
        <w:spacing w:after="0" w:line="240" w:lineRule="auto"/>
        <w:jc w:val="both"/>
        <w:rPr>
          <w:rFonts w:ascii="Times New Roman" w:eastAsia="Calibri" w:hAnsi="Times New Roman" w:cs="Times New Roman"/>
          <w:bCs/>
          <w:iCs/>
          <w:noProof/>
          <w:sz w:val="24"/>
          <w:szCs w:val="24"/>
          <w:lang w:eastAsia="hr-HR"/>
        </w:rPr>
      </w:pPr>
    </w:p>
    <w:p w14:paraId="5ACE61BB" w14:textId="77777777" w:rsidR="00C37EEA" w:rsidRPr="00C37EEA" w:rsidRDefault="00C37EEA" w:rsidP="00C37EEA">
      <w:pPr>
        <w:spacing w:after="120" w:line="240" w:lineRule="auto"/>
        <w:jc w:val="both"/>
        <w:rPr>
          <w:rFonts w:ascii="Times New Roman" w:eastAsia="Calibri" w:hAnsi="Times New Roman" w:cs="Times New Roman"/>
          <w:bCs/>
          <w:iCs/>
          <w:noProof/>
          <w:sz w:val="24"/>
          <w:szCs w:val="24"/>
          <w:u w:val="single"/>
          <w:lang w:eastAsia="hr-HR"/>
        </w:rPr>
      </w:pPr>
      <w:r w:rsidRPr="00C37EEA">
        <w:rPr>
          <w:rFonts w:ascii="Times New Roman" w:eastAsia="Calibri" w:hAnsi="Times New Roman" w:cs="Times New Roman"/>
          <w:bCs/>
          <w:iCs/>
          <w:noProof/>
          <w:sz w:val="24"/>
          <w:szCs w:val="24"/>
          <w:u w:val="single"/>
          <w:lang w:eastAsia="hr-HR"/>
        </w:rPr>
        <w:t>63. plenarna sjednica Odbora Vijeća Europe MONEYVAL (18. - 20. svibnja 2022.)</w:t>
      </w:r>
    </w:p>
    <w:p w14:paraId="3A88343A" w14:textId="77777777" w:rsidR="00C37EEA" w:rsidRPr="00C37EEA" w:rsidRDefault="00C37EEA" w:rsidP="00C37EEA">
      <w:pPr>
        <w:spacing w:after="0" w:line="240" w:lineRule="auto"/>
        <w:jc w:val="both"/>
        <w:rPr>
          <w:rFonts w:ascii="Times New Roman" w:eastAsia="Calibri" w:hAnsi="Times New Roman" w:cs="Times New Roman"/>
          <w:bCs/>
          <w:iCs/>
          <w:noProof/>
          <w:sz w:val="24"/>
          <w:szCs w:val="24"/>
          <w:lang w:eastAsia="hr-HR"/>
        </w:rPr>
      </w:pPr>
      <w:r w:rsidRPr="00C37EEA">
        <w:rPr>
          <w:rFonts w:ascii="Times New Roman" w:eastAsia="Calibri" w:hAnsi="Times New Roman" w:cs="Times New Roman"/>
          <w:bCs/>
          <w:iCs/>
          <w:noProof/>
          <w:sz w:val="24"/>
          <w:szCs w:val="24"/>
          <w:lang w:eastAsia="hr-HR"/>
        </w:rPr>
        <w:t>Direktor za informacijsko društvo i akciju protiv kriminala Vijeća Europe g. Jan Kleijssen otvorio je 63. plenarnu sjednicu naglašavajući važnost MONEYVAL-a u osiguranju financijskog integriteta i transparentnosti u regiji. Supredsjedavajući Grupe za koordinaciju globalne mreže FATF-a, g. Giles Thomson predstavio je stratešku viziju za globalnu mrežu, koju je MONEYVAL, kao regionalno tijelo FATF-a, usvojio.</w:t>
      </w:r>
    </w:p>
    <w:p w14:paraId="16486120" w14:textId="77777777" w:rsidR="00C37EEA" w:rsidRPr="00C37EEA" w:rsidRDefault="00C37EEA" w:rsidP="00C37EEA">
      <w:pPr>
        <w:spacing w:after="0" w:line="240" w:lineRule="auto"/>
        <w:jc w:val="both"/>
        <w:rPr>
          <w:rFonts w:ascii="Times New Roman" w:eastAsia="Calibri" w:hAnsi="Times New Roman" w:cs="Times New Roman"/>
          <w:bCs/>
          <w:iCs/>
          <w:noProof/>
          <w:sz w:val="24"/>
          <w:szCs w:val="24"/>
          <w:lang w:eastAsia="hr-HR"/>
        </w:rPr>
      </w:pPr>
    </w:p>
    <w:p w14:paraId="71C2CA1C" w14:textId="77777777" w:rsidR="00C37EEA" w:rsidRPr="00C37EEA" w:rsidRDefault="00C37EEA" w:rsidP="00C37EEA">
      <w:pPr>
        <w:spacing w:after="0" w:line="240" w:lineRule="auto"/>
        <w:jc w:val="both"/>
        <w:rPr>
          <w:rFonts w:ascii="Times New Roman" w:eastAsia="Calibri" w:hAnsi="Times New Roman" w:cs="Times New Roman"/>
          <w:bCs/>
          <w:iCs/>
          <w:noProof/>
          <w:sz w:val="24"/>
          <w:szCs w:val="24"/>
          <w:lang w:eastAsia="hr-HR"/>
        </w:rPr>
      </w:pPr>
      <w:r w:rsidRPr="00C37EEA">
        <w:rPr>
          <w:rFonts w:ascii="Times New Roman" w:eastAsia="Calibri" w:hAnsi="Times New Roman" w:cs="Times New Roman"/>
          <w:bCs/>
          <w:iCs/>
          <w:noProof/>
          <w:sz w:val="24"/>
          <w:szCs w:val="24"/>
          <w:lang w:eastAsia="hr-HR"/>
        </w:rPr>
        <w:t xml:space="preserve">Na sjednici su raspravljena i usvojena </w:t>
      </w:r>
      <w:r w:rsidRPr="00C37EEA">
        <w:rPr>
          <w:rFonts w:ascii="Times New Roman" w:eastAsia="Calibri" w:hAnsi="Times New Roman" w:cs="Times New Roman"/>
          <w:bCs/>
          <w:i/>
          <w:iCs/>
          <w:noProof/>
          <w:sz w:val="24"/>
          <w:szCs w:val="24"/>
          <w:lang w:eastAsia="hr-HR"/>
        </w:rPr>
        <w:t>Izvješća o 5. krugu evaluacije</w:t>
      </w:r>
      <w:r w:rsidRPr="00C37EEA">
        <w:rPr>
          <w:rFonts w:ascii="Times New Roman" w:eastAsia="Calibri" w:hAnsi="Times New Roman" w:cs="Times New Roman"/>
          <w:bCs/>
          <w:iCs/>
          <w:noProof/>
          <w:sz w:val="24"/>
          <w:szCs w:val="24"/>
          <w:lang w:eastAsia="hr-HR"/>
        </w:rPr>
        <w:t xml:space="preserve"> Bugarske i Lihtenštajna. Također, usvojena su i </w:t>
      </w:r>
      <w:r w:rsidRPr="00C37EEA">
        <w:rPr>
          <w:rFonts w:ascii="Times New Roman" w:eastAsia="Calibri" w:hAnsi="Times New Roman" w:cs="Times New Roman"/>
          <w:bCs/>
          <w:i/>
          <w:iCs/>
          <w:noProof/>
          <w:sz w:val="24"/>
          <w:szCs w:val="24"/>
          <w:lang w:eastAsia="hr-HR"/>
        </w:rPr>
        <w:t>Izvješća o napretku</w:t>
      </w:r>
      <w:r w:rsidRPr="00C37EEA">
        <w:rPr>
          <w:rFonts w:ascii="Times New Roman" w:eastAsia="Calibri" w:hAnsi="Times New Roman" w:cs="Times New Roman"/>
          <w:bCs/>
          <w:iCs/>
          <w:noProof/>
          <w:sz w:val="24"/>
          <w:szCs w:val="24"/>
          <w:lang w:eastAsia="hr-HR"/>
        </w:rPr>
        <w:t xml:space="preserve"> (tzv. „</w:t>
      </w:r>
      <w:r w:rsidRPr="00C37EEA">
        <w:rPr>
          <w:rFonts w:ascii="Times New Roman" w:eastAsia="Calibri" w:hAnsi="Times New Roman" w:cs="Times New Roman"/>
          <w:bCs/>
          <w:i/>
          <w:iCs/>
          <w:noProof/>
          <w:sz w:val="24"/>
          <w:szCs w:val="24"/>
          <w:lang w:eastAsia="hr-HR"/>
        </w:rPr>
        <w:t>follow-up</w:t>
      </w:r>
      <w:r w:rsidRPr="00C37EEA">
        <w:rPr>
          <w:rFonts w:ascii="Times New Roman" w:eastAsia="Calibri" w:hAnsi="Times New Roman" w:cs="Times New Roman"/>
          <w:bCs/>
          <w:iCs/>
          <w:noProof/>
          <w:sz w:val="24"/>
          <w:szCs w:val="24"/>
          <w:lang w:eastAsia="hr-HR"/>
        </w:rPr>
        <w:t xml:space="preserve">“ izvješća) Albanije, Mađarske, Moldavije i Slovenije. </w:t>
      </w:r>
    </w:p>
    <w:p w14:paraId="58D08AEF" w14:textId="77777777" w:rsidR="00C37EEA" w:rsidRPr="00C37EEA" w:rsidRDefault="00C37EEA" w:rsidP="00610A6A">
      <w:pPr>
        <w:spacing w:after="0" w:line="240" w:lineRule="auto"/>
        <w:jc w:val="both"/>
        <w:rPr>
          <w:rFonts w:ascii="Times New Roman" w:eastAsia="Calibri" w:hAnsi="Times New Roman" w:cs="Times New Roman"/>
          <w:bCs/>
          <w:iCs/>
          <w:noProof/>
          <w:sz w:val="24"/>
          <w:szCs w:val="24"/>
          <w:lang w:eastAsia="hr-HR"/>
        </w:rPr>
      </w:pPr>
    </w:p>
    <w:p w14:paraId="536EC8EA" w14:textId="77777777" w:rsidR="00C37EEA" w:rsidRPr="00C37EEA" w:rsidRDefault="00C37EEA" w:rsidP="00C37EEA">
      <w:pPr>
        <w:spacing w:before="120" w:after="120" w:line="240" w:lineRule="auto"/>
        <w:jc w:val="both"/>
        <w:rPr>
          <w:rFonts w:ascii="Times New Roman" w:eastAsia="Calibri" w:hAnsi="Times New Roman" w:cs="Times New Roman"/>
          <w:bCs/>
          <w:iCs/>
          <w:noProof/>
          <w:sz w:val="24"/>
          <w:szCs w:val="24"/>
          <w:lang w:eastAsia="hr-HR"/>
        </w:rPr>
      </w:pPr>
      <w:r w:rsidRPr="00C37EEA">
        <w:rPr>
          <w:rFonts w:ascii="Times New Roman" w:eastAsia="Calibri" w:hAnsi="Times New Roman" w:cs="Times New Roman"/>
          <w:bCs/>
          <w:iCs/>
          <w:noProof/>
          <w:sz w:val="24"/>
          <w:szCs w:val="24"/>
          <w:u w:val="single"/>
          <w:lang w:eastAsia="hr-HR"/>
        </w:rPr>
        <w:t>64. plenarna sjednica Odbora Vijeća Europe MONEYVAL (07. - 09. prosinca 2022.)</w:t>
      </w:r>
    </w:p>
    <w:p w14:paraId="5C1EADE5" w14:textId="77777777" w:rsidR="00C37EEA" w:rsidRPr="00C37EEA" w:rsidRDefault="00C37EEA" w:rsidP="00C37EEA">
      <w:pPr>
        <w:spacing w:after="0" w:line="240" w:lineRule="auto"/>
        <w:jc w:val="both"/>
        <w:rPr>
          <w:rFonts w:ascii="Times New Roman" w:eastAsia="Calibri" w:hAnsi="Times New Roman" w:cs="Times New Roman"/>
          <w:bCs/>
          <w:iCs/>
          <w:noProof/>
          <w:sz w:val="24"/>
          <w:szCs w:val="24"/>
          <w:lang w:eastAsia="hr-HR"/>
        </w:rPr>
      </w:pPr>
      <w:r w:rsidRPr="00C37EEA">
        <w:rPr>
          <w:rFonts w:ascii="Times New Roman" w:eastAsia="Calibri" w:hAnsi="Times New Roman" w:cs="Times New Roman"/>
          <w:bCs/>
          <w:iCs/>
          <w:noProof/>
          <w:sz w:val="24"/>
          <w:szCs w:val="24"/>
          <w:lang w:eastAsia="hr-HR"/>
        </w:rPr>
        <w:t>Zamjenik glavne tajnice Vijeća Europe g. Bjørn Berge</w:t>
      </w:r>
      <w:r w:rsidRPr="00C37EEA">
        <w:rPr>
          <w:rFonts w:ascii="Calibri" w:eastAsia="Calibri" w:hAnsi="Calibri" w:cs="Times New Roman"/>
          <w:b/>
        </w:rPr>
        <w:t xml:space="preserve"> </w:t>
      </w:r>
      <w:r w:rsidRPr="00C37EEA">
        <w:rPr>
          <w:rFonts w:ascii="Times New Roman" w:eastAsia="Calibri" w:hAnsi="Times New Roman" w:cs="Times New Roman"/>
          <w:bCs/>
          <w:iCs/>
          <w:noProof/>
          <w:sz w:val="24"/>
          <w:szCs w:val="24"/>
          <w:lang w:eastAsia="hr-HR"/>
        </w:rPr>
        <w:t xml:space="preserve">otvorio je 64. plenarnu sjednicu. U svom govoru g. Berge naglasio je rastuću ulogu MONEYVAL-a kao jednog od odobra Vijeća Europe i čestitao MONEYVAL-u na 25. obljetnici postojanja i uspješnog rada. Izvršna tajnica FATF-a, gđa Violaine Clerc obratila se plenarnoj sjednici ističući visoku razinu suradnje između FATF-a i MONEYVAL-a te pritom čestitala MONEYVAL-u na kvaliteti izvješća o evaluaciji svojih država članica. </w:t>
      </w:r>
    </w:p>
    <w:p w14:paraId="200211D2" w14:textId="77777777" w:rsidR="00C37EEA" w:rsidRPr="00C37EEA" w:rsidRDefault="00C37EEA" w:rsidP="00C37EEA">
      <w:pPr>
        <w:spacing w:after="0" w:line="240" w:lineRule="auto"/>
        <w:ind w:firstLine="709"/>
        <w:jc w:val="both"/>
        <w:rPr>
          <w:rFonts w:ascii="Times New Roman" w:eastAsia="Calibri" w:hAnsi="Times New Roman" w:cs="Times New Roman"/>
          <w:bCs/>
          <w:iCs/>
          <w:noProof/>
          <w:sz w:val="24"/>
          <w:szCs w:val="24"/>
          <w:lang w:eastAsia="hr-HR"/>
        </w:rPr>
      </w:pPr>
    </w:p>
    <w:p w14:paraId="0A7260C9" w14:textId="77777777" w:rsidR="00C37EEA" w:rsidRPr="00C37EEA" w:rsidRDefault="00C37EEA" w:rsidP="00C37EEA">
      <w:pPr>
        <w:spacing w:after="0" w:line="240" w:lineRule="auto"/>
        <w:jc w:val="both"/>
        <w:rPr>
          <w:rFonts w:ascii="Times New Roman" w:eastAsia="Calibri" w:hAnsi="Times New Roman" w:cs="Times New Roman"/>
          <w:bCs/>
          <w:iCs/>
          <w:noProof/>
          <w:sz w:val="24"/>
          <w:szCs w:val="24"/>
          <w:lang w:eastAsia="hr-HR"/>
        </w:rPr>
      </w:pPr>
      <w:r w:rsidRPr="00C37EEA">
        <w:rPr>
          <w:rFonts w:ascii="Times New Roman" w:eastAsia="Calibri" w:hAnsi="Times New Roman" w:cs="Times New Roman"/>
          <w:bCs/>
          <w:iCs/>
          <w:noProof/>
          <w:sz w:val="24"/>
          <w:szCs w:val="24"/>
          <w:lang w:eastAsia="hr-HR"/>
        </w:rPr>
        <w:t xml:space="preserve">Na sjednici su raspravljena i usvojena </w:t>
      </w:r>
      <w:r w:rsidRPr="00C37EEA">
        <w:rPr>
          <w:rFonts w:ascii="Times New Roman" w:eastAsia="Calibri" w:hAnsi="Times New Roman" w:cs="Times New Roman"/>
          <w:bCs/>
          <w:i/>
          <w:iCs/>
          <w:noProof/>
          <w:sz w:val="24"/>
          <w:szCs w:val="24"/>
          <w:lang w:eastAsia="hr-HR"/>
        </w:rPr>
        <w:t>Izvješća o 5. krugu evaluacije</w:t>
      </w:r>
      <w:r w:rsidRPr="00C37EEA">
        <w:rPr>
          <w:rFonts w:ascii="Times New Roman" w:eastAsia="Calibri" w:hAnsi="Times New Roman" w:cs="Times New Roman"/>
          <w:bCs/>
          <w:iCs/>
          <w:noProof/>
          <w:sz w:val="24"/>
          <w:szCs w:val="24"/>
          <w:lang w:eastAsia="hr-HR"/>
        </w:rPr>
        <w:t xml:space="preserve"> Estonije i Monaka. Također, usvojeno je i </w:t>
      </w:r>
      <w:r w:rsidRPr="00C37EEA">
        <w:rPr>
          <w:rFonts w:ascii="Times New Roman" w:eastAsia="Calibri" w:hAnsi="Times New Roman" w:cs="Times New Roman"/>
          <w:bCs/>
          <w:i/>
          <w:iCs/>
          <w:noProof/>
          <w:sz w:val="24"/>
          <w:szCs w:val="24"/>
          <w:lang w:eastAsia="hr-HR"/>
        </w:rPr>
        <w:t>Izvješće o napretku</w:t>
      </w:r>
      <w:r w:rsidRPr="00C37EEA">
        <w:rPr>
          <w:rFonts w:ascii="Times New Roman" w:eastAsia="Calibri" w:hAnsi="Times New Roman" w:cs="Times New Roman"/>
          <w:bCs/>
          <w:iCs/>
          <w:noProof/>
          <w:sz w:val="24"/>
          <w:szCs w:val="24"/>
          <w:lang w:eastAsia="hr-HR"/>
        </w:rPr>
        <w:t xml:space="preserve"> (tzv. „</w:t>
      </w:r>
      <w:r w:rsidRPr="00C37EEA">
        <w:rPr>
          <w:rFonts w:ascii="Times New Roman" w:eastAsia="Calibri" w:hAnsi="Times New Roman" w:cs="Times New Roman"/>
          <w:bCs/>
          <w:i/>
          <w:iCs/>
          <w:noProof/>
          <w:sz w:val="24"/>
          <w:szCs w:val="24"/>
          <w:lang w:eastAsia="hr-HR"/>
        </w:rPr>
        <w:t>follow-up</w:t>
      </w:r>
      <w:r w:rsidRPr="00C37EEA">
        <w:rPr>
          <w:rFonts w:ascii="Times New Roman" w:eastAsia="Calibri" w:hAnsi="Times New Roman" w:cs="Times New Roman"/>
          <w:bCs/>
          <w:iCs/>
          <w:noProof/>
          <w:sz w:val="24"/>
          <w:szCs w:val="24"/>
          <w:lang w:eastAsia="hr-HR"/>
        </w:rPr>
        <w:t xml:space="preserve">“ izvješće) Litve. </w:t>
      </w:r>
    </w:p>
    <w:p w14:paraId="60F7BB09" w14:textId="77777777" w:rsidR="00C37EEA" w:rsidRPr="00C37EEA" w:rsidRDefault="00C37EEA" w:rsidP="00C37EEA">
      <w:pPr>
        <w:spacing w:after="0" w:line="240" w:lineRule="auto"/>
        <w:ind w:firstLine="709"/>
        <w:jc w:val="both"/>
        <w:rPr>
          <w:rFonts w:ascii="Times New Roman" w:eastAsia="Calibri" w:hAnsi="Times New Roman" w:cs="Times New Roman"/>
          <w:bCs/>
          <w:iCs/>
          <w:noProof/>
          <w:sz w:val="24"/>
          <w:szCs w:val="24"/>
          <w:lang w:eastAsia="hr-HR"/>
        </w:rPr>
      </w:pPr>
    </w:p>
    <w:p w14:paraId="1ACF3511" w14:textId="77777777" w:rsidR="00C37EEA" w:rsidRPr="00C37EEA" w:rsidRDefault="00C37EEA" w:rsidP="00C37EEA">
      <w:pPr>
        <w:spacing w:after="0" w:line="240" w:lineRule="auto"/>
        <w:jc w:val="both"/>
        <w:rPr>
          <w:rFonts w:ascii="Times New Roman" w:eastAsia="Calibri" w:hAnsi="Times New Roman" w:cs="Times New Roman"/>
          <w:bCs/>
          <w:iCs/>
          <w:noProof/>
          <w:sz w:val="24"/>
          <w:szCs w:val="24"/>
          <w:lang w:eastAsia="hr-HR"/>
        </w:rPr>
      </w:pPr>
      <w:r w:rsidRPr="00C37EEA">
        <w:rPr>
          <w:rFonts w:ascii="Times New Roman" w:eastAsia="Calibri" w:hAnsi="Times New Roman" w:cs="Times New Roman"/>
          <w:bCs/>
          <w:iCs/>
          <w:noProof/>
          <w:sz w:val="24"/>
          <w:szCs w:val="24"/>
          <w:lang w:eastAsia="hr-HR"/>
        </w:rPr>
        <w:t>Nadalje, održana je tematska rasprava o vezama između pranja novca i trgovine ljudima s razmjenom mišljenja u kojoj su sudjelovali gđa Helga Gayer, predsjednica Odbora Vijeća Europe za djelovanje protiv trgovanja ljudima (GRETA), gđa Petya Nestorova, izvršna tajnica GRETA-e, i Daniel Thelesklaf, voditelj FAST projekta UN</w:t>
      </w:r>
      <w:r w:rsidRPr="00C37EEA">
        <w:rPr>
          <w:rFonts w:ascii="Calibri" w:eastAsia="Calibri" w:hAnsi="Calibri" w:cs="Times New Roman"/>
          <w:b/>
        </w:rPr>
        <w:t xml:space="preserve"> </w:t>
      </w:r>
      <w:r w:rsidRPr="00C37EEA">
        <w:rPr>
          <w:rFonts w:ascii="Times New Roman" w:eastAsia="Calibri" w:hAnsi="Times New Roman" w:cs="Times New Roman"/>
          <w:bCs/>
          <w:iCs/>
          <w:noProof/>
          <w:sz w:val="24"/>
          <w:szCs w:val="24"/>
          <w:lang w:eastAsia="hr-HR"/>
        </w:rPr>
        <w:t xml:space="preserve">Sveučilišta. </w:t>
      </w:r>
    </w:p>
    <w:p w14:paraId="1A339D20" w14:textId="77777777" w:rsidR="00C37EEA" w:rsidRPr="00C37EEA" w:rsidRDefault="00C37EEA" w:rsidP="00C37EEA">
      <w:pPr>
        <w:spacing w:after="0" w:line="240" w:lineRule="auto"/>
        <w:jc w:val="both"/>
        <w:rPr>
          <w:rFonts w:ascii="Times New Roman" w:eastAsia="Calibri" w:hAnsi="Times New Roman" w:cs="Times New Roman"/>
          <w:bCs/>
          <w:iCs/>
          <w:noProof/>
          <w:sz w:val="24"/>
          <w:szCs w:val="24"/>
          <w:lang w:eastAsia="hr-HR"/>
        </w:rPr>
      </w:pPr>
    </w:p>
    <w:p w14:paraId="491FA732" w14:textId="77777777" w:rsidR="00C37EEA" w:rsidRPr="00C37EEA" w:rsidRDefault="00C37EEA" w:rsidP="00C37EEA">
      <w:pPr>
        <w:spacing w:after="0" w:line="240" w:lineRule="auto"/>
        <w:jc w:val="both"/>
        <w:rPr>
          <w:rFonts w:ascii="Times New Roman" w:eastAsia="Calibri" w:hAnsi="Times New Roman" w:cs="Times New Roman"/>
          <w:bCs/>
          <w:iCs/>
          <w:noProof/>
          <w:sz w:val="24"/>
          <w:szCs w:val="24"/>
          <w:lang w:eastAsia="hr-HR"/>
        </w:rPr>
      </w:pPr>
      <w:r w:rsidRPr="00C37EEA">
        <w:rPr>
          <w:rFonts w:ascii="Times New Roman" w:eastAsia="Calibri" w:hAnsi="Times New Roman" w:cs="Times New Roman"/>
          <w:bCs/>
          <w:iCs/>
          <w:noProof/>
          <w:sz w:val="24"/>
          <w:szCs w:val="24"/>
          <w:lang w:eastAsia="hr-HR"/>
        </w:rPr>
        <w:t xml:space="preserve">Također, MONEYVAL je održao raspravu o svojim strateškim prioritetima za razdoblje od 2023. do 2027. uz sudjelovanje bivših predsjedatelja g. Vassila Kirova, g. Antona Bartola, g. Klaudija Stroliga, g. Daniela Thelesklafa, gđe Eve Papakyriacou, znanstvenih stručnjaka g. Billa Gilmorea i g. Boudewijn Verhelsta i bivšeg izvršnog tajnika g. Johna Ringgutha. </w:t>
      </w:r>
    </w:p>
    <w:p w14:paraId="06E06C7E" w14:textId="25BC330E" w:rsidR="004665E0" w:rsidRDefault="004665E0" w:rsidP="004665E0">
      <w:pPr>
        <w:spacing w:after="0" w:line="240" w:lineRule="auto"/>
        <w:jc w:val="both"/>
        <w:rPr>
          <w:rFonts w:ascii="Times New Roman" w:eastAsia="Calibri" w:hAnsi="Times New Roman" w:cs="Times New Roman"/>
          <w:bCs/>
          <w:iCs/>
          <w:sz w:val="24"/>
          <w:szCs w:val="24"/>
          <w:lang w:eastAsia="hr-HR"/>
        </w:rPr>
      </w:pPr>
    </w:p>
    <w:p w14:paraId="3FFF5895" w14:textId="2DED1C71" w:rsidR="00375117" w:rsidRDefault="00375117" w:rsidP="004665E0">
      <w:pPr>
        <w:spacing w:after="0" w:line="240" w:lineRule="auto"/>
        <w:jc w:val="both"/>
        <w:rPr>
          <w:rFonts w:ascii="Times New Roman" w:eastAsia="Calibri" w:hAnsi="Times New Roman" w:cs="Times New Roman"/>
          <w:bCs/>
          <w:iCs/>
          <w:sz w:val="24"/>
          <w:szCs w:val="24"/>
          <w:lang w:eastAsia="hr-HR"/>
        </w:rPr>
      </w:pPr>
    </w:p>
    <w:p w14:paraId="7C68E321" w14:textId="77777777" w:rsidR="00375117" w:rsidRDefault="00375117" w:rsidP="004665E0">
      <w:pPr>
        <w:spacing w:after="0" w:line="240" w:lineRule="auto"/>
        <w:jc w:val="both"/>
        <w:rPr>
          <w:rFonts w:ascii="Times New Roman" w:eastAsia="Calibri" w:hAnsi="Times New Roman" w:cs="Times New Roman"/>
          <w:bCs/>
          <w:iCs/>
          <w:sz w:val="24"/>
          <w:szCs w:val="24"/>
          <w:lang w:eastAsia="hr-HR"/>
        </w:rPr>
      </w:pPr>
    </w:p>
    <w:p w14:paraId="732232A9" w14:textId="77777777" w:rsidR="003C57AF" w:rsidRPr="006A6FE5" w:rsidRDefault="003C57AF" w:rsidP="004665E0">
      <w:pPr>
        <w:spacing w:after="0" w:line="240" w:lineRule="auto"/>
        <w:jc w:val="both"/>
        <w:rPr>
          <w:rFonts w:ascii="Times New Roman" w:eastAsia="Calibri" w:hAnsi="Times New Roman" w:cs="Times New Roman"/>
          <w:bCs/>
          <w:iCs/>
          <w:sz w:val="24"/>
          <w:szCs w:val="24"/>
          <w:lang w:eastAsia="hr-HR"/>
        </w:rPr>
      </w:pPr>
    </w:p>
    <w:p w14:paraId="6AAEC243" w14:textId="77777777" w:rsidR="004665E0" w:rsidRPr="003C57AF" w:rsidRDefault="004665E0" w:rsidP="003C57AF">
      <w:pPr>
        <w:rPr>
          <w:rFonts w:ascii="Times New Roman" w:hAnsi="Times New Roman" w:cs="Times New Roman"/>
          <w:b/>
          <w:sz w:val="24"/>
          <w:szCs w:val="24"/>
        </w:rPr>
      </w:pPr>
      <w:bookmarkStart w:id="37" w:name="_Toc74662627"/>
      <w:r w:rsidRPr="003C57AF">
        <w:rPr>
          <w:rFonts w:ascii="Times New Roman" w:hAnsi="Times New Roman" w:cs="Times New Roman"/>
          <w:b/>
          <w:sz w:val="24"/>
          <w:szCs w:val="24"/>
        </w:rPr>
        <w:t>5. krug evaluacije Republike Hrvatske od strane MONEYVAL-a</w:t>
      </w:r>
      <w:bookmarkEnd w:id="37"/>
    </w:p>
    <w:p w14:paraId="61505DFD" w14:textId="6D96AEB6" w:rsidR="004665E0" w:rsidRPr="006A6FE5" w:rsidRDefault="004665E0" w:rsidP="00375117">
      <w:pPr>
        <w:spacing w:after="0" w:line="240" w:lineRule="auto"/>
        <w:jc w:val="both"/>
        <w:rPr>
          <w:rFonts w:ascii="Times New Roman" w:eastAsia="Calibri" w:hAnsi="Times New Roman" w:cs="Times New Roman"/>
          <w:sz w:val="24"/>
          <w:szCs w:val="24"/>
        </w:rPr>
      </w:pPr>
      <w:r w:rsidRPr="006A6FE5">
        <w:rPr>
          <w:rFonts w:ascii="Times New Roman" w:eastAsia="Calibri" w:hAnsi="Times New Roman" w:cs="Times New Roman"/>
          <w:sz w:val="24"/>
          <w:szCs w:val="24"/>
        </w:rPr>
        <w:t xml:space="preserve">U </w:t>
      </w:r>
      <w:r w:rsidR="00C37EEA">
        <w:rPr>
          <w:rFonts w:ascii="Times New Roman" w:eastAsia="Calibri" w:hAnsi="Times New Roman" w:cs="Times New Roman"/>
          <w:sz w:val="24"/>
          <w:szCs w:val="24"/>
        </w:rPr>
        <w:t xml:space="preserve">prosincu </w:t>
      </w:r>
      <w:r w:rsidRPr="006A6FE5">
        <w:rPr>
          <w:rFonts w:ascii="Times New Roman" w:eastAsia="Calibri" w:hAnsi="Times New Roman" w:cs="Times New Roman"/>
          <w:sz w:val="24"/>
          <w:szCs w:val="24"/>
        </w:rPr>
        <w:t>2021.</w:t>
      </w:r>
      <w:r w:rsidR="00C37EEA">
        <w:rPr>
          <w:rFonts w:ascii="Times New Roman" w:eastAsia="Calibri" w:hAnsi="Times New Roman" w:cs="Times New Roman"/>
          <w:sz w:val="24"/>
          <w:szCs w:val="24"/>
        </w:rPr>
        <w:t xml:space="preserve"> MONEYVAL je usvojio izvješće o</w:t>
      </w:r>
      <w:r w:rsidRPr="006A6FE5">
        <w:rPr>
          <w:rFonts w:ascii="Times New Roman" w:eastAsia="Calibri" w:hAnsi="Times New Roman" w:cs="Times New Roman"/>
          <w:sz w:val="24"/>
          <w:szCs w:val="24"/>
        </w:rPr>
        <w:t xml:space="preserve"> 5. krug</w:t>
      </w:r>
      <w:r w:rsidR="00C37EEA">
        <w:rPr>
          <w:rFonts w:ascii="Times New Roman" w:eastAsia="Calibri" w:hAnsi="Times New Roman" w:cs="Times New Roman"/>
          <w:sz w:val="24"/>
          <w:szCs w:val="24"/>
        </w:rPr>
        <w:t>u</w:t>
      </w:r>
      <w:r w:rsidRPr="006A6FE5">
        <w:rPr>
          <w:rFonts w:ascii="Times New Roman" w:eastAsia="Calibri" w:hAnsi="Times New Roman" w:cs="Times New Roman"/>
          <w:sz w:val="24"/>
          <w:szCs w:val="24"/>
        </w:rPr>
        <w:t xml:space="preserve"> evaluacije Republike Hrvatske</w:t>
      </w:r>
      <w:r w:rsidR="00C37EEA">
        <w:rPr>
          <w:rFonts w:ascii="Times New Roman" w:eastAsia="Calibri" w:hAnsi="Times New Roman" w:cs="Times New Roman"/>
          <w:sz w:val="24"/>
          <w:szCs w:val="24"/>
        </w:rPr>
        <w:t>.</w:t>
      </w:r>
      <w:r w:rsidRPr="006A6FE5">
        <w:rPr>
          <w:rFonts w:ascii="Times New Roman" w:eastAsia="Calibri" w:hAnsi="Times New Roman" w:cs="Times New Roman"/>
          <w:sz w:val="24"/>
          <w:szCs w:val="24"/>
        </w:rPr>
        <w:t xml:space="preserve"> </w:t>
      </w:r>
    </w:p>
    <w:p w14:paraId="681A4522" w14:textId="77777777" w:rsidR="004665E0" w:rsidRPr="006A6FE5" w:rsidRDefault="004665E0" w:rsidP="004665E0">
      <w:pPr>
        <w:spacing w:after="0" w:line="240" w:lineRule="auto"/>
        <w:jc w:val="both"/>
        <w:rPr>
          <w:rFonts w:ascii="Times New Roman" w:eastAsia="Calibri" w:hAnsi="Times New Roman" w:cs="Times New Roman"/>
          <w:bCs/>
          <w:iCs/>
          <w:sz w:val="24"/>
          <w:szCs w:val="24"/>
          <w:lang w:eastAsia="hr-HR"/>
        </w:rPr>
      </w:pPr>
      <w:r w:rsidRPr="006A6FE5">
        <w:rPr>
          <w:rFonts w:ascii="Times New Roman" w:eastAsia="Calibri" w:hAnsi="Times New Roman" w:cs="Times New Roman"/>
          <w:bCs/>
          <w:iCs/>
          <w:sz w:val="24"/>
          <w:szCs w:val="24"/>
          <w:lang w:eastAsia="hr-HR"/>
        </w:rPr>
        <w:t xml:space="preserve">U izvješću u okviru </w:t>
      </w:r>
      <w:r w:rsidRPr="006A6FE5">
        <w:rPr>
          <w:rFonts w:ascii="Times New Roman" w:eastAsia="Calibri" w:hAnsi="Times New Roman" w:cs="Times New Roman"/>
          <w:bCs/>
          <w:iCs/>
          <w:sz w:val="24"/>
          <w:szCs w:val="24"/>
          <w:u w:val="single"/>
          <w:lang w:eastAsia="hr-HR"/>
        </w:rPr>
        <w:t>neposrednog cilja 6</w:t>
      </w:r>
      <w:r w:rsidRPr="006A6FE5">
        <w:rPr>
          <w:rFonts w:ascii="Times New Roman" w:eastAsia="Calibri" w:hAnsi="Times New Roman" w:cs="Times New Roman"/>
          <w:bCs/>
          <w:iCs/>
          <w:sz w:val="24"/>
          <w:szCs w:val="24"/>
          <w:lang w:eastAsia="hr-HR"/>
        </w:rPr>
        <w:t xml:space="preserve"> - </w:t>
      </w:r>
      <w:r w:rsidRPr="006A6FE5">
        <w:rPr>
          <w:rFonts w:ascii="Times New Roman" w:eastAsia="Calibri" w:hAnsi="Times New Roman" w:cs="Times New Roman"/>
          <w:bCs/>
          <w:i/>
          <w:iCs/>
          <w:sz w:val="24"/>
          <w:szCs w:val="24"/>
          <w:lang w:eastAsia="hr-HR"/>
        </w:rPr>
        <w:t>Učinkovito korištenje financijsko-obavještajnih podataka za istrage kaznenih djela pranje novca i financiranje terorizma</w:t>
      </w:r>
      <w:r w:rsidRPr="006A6FE5">
        <w:rPr>
          <w:rFonts w:ascii="Times New Roman" w:eastAsia="Calibri" w:hAnsi="Times New Roman" w:cs="Times New Roman"/>
          <w:bCs/>
          <w:iCs/>
          <w:sz w:val="24"/>
          <w:szCs w:val="24"/>
          <w:lang w:eastAsia="hr-HR"/>
        </w:rPr>
        <w:t>, evaluatori MONEYVAL-a utvrdili su sljedeće:</w:t>
      </w:r>
    </w:p>
    <w:p w14:paraId="52DB28A7" w14:textId="77777777" w:rsidR="004665E0" w:rsidRPr="006A6FE5" w:rsidRDefault="004665E0" w:rsidP="004665E0">
      <w:pPr>
        <w:spacing w:before="120" w:after="0" w:line="240" w:lineRule="auto"/>
        <w:ind w:left="426"/>
        <w:jc w:val="both"/>
        <w:rPr>
          <w:rFonts w:ascii="Times New Roman" w:eastAsia="Calibri" w:hAnsi="Times New Roman" w:cs="Times New Roman"/>
          <w:bCs/>
          <w:i/>
          <w:iCs/>
          <w:sz w:val="24"/>
          <w:szCs w:val="24"/>
          <w:lang w:eastAsia="hr-HR"/>
        </w:rPr>
      </w:pPr>
      <w:r w:rsidRPr="006A6FE5">
        <w:rPr>
          <w:rFonts w:ascii="Times New Roman" w:eastAsia="Calibri" w:hAnsi="Times New Roman" w:cs="Times New Roman"/>
          <w:bCs/>
          <w:i/>
          <w:iCs/>
          <w:sz w:val="24"/>
          <w:szCs w:val="24"/>
          <w:lang w:eastAsia="hr-HR"/>
        </w:rPr>
        <w:t>Ured ima izravan i neizravan pristup širokom rasponu relevantnih informacija drugih državnih tijela i privatnog sektora, a kako mogao prikupiti podatke potrebne za svoje operativne analize. Tijela kaznenog progona istaknula su kako su zadovoljna kvalitetom operativnih analiza transakcija koje im na daljnje postupanje dostavlja Ured.</w:t>
      </w:r>
    </w:p>
    <w:p w14:paraId="3CB37FCF" w14:textId="77777777" w:rsidR="004665E0" w:rsidRPr="006A6FE5" w:rsidRDefault="004665E0" w:rsidP="004665E0">
      <w:pPr>
        <w:spacing w:before="120" w:after="0" w:line="240" w:lineRule="auto"/>
        <w:ind w:left="426"/>
        <w:jc w:val="both"/>
        <w:rPr>
          <w:rFonts w:ascii="Times New Roman" w:eastAsia="Calibri" w:hAnsi="Times New Roman" w:cs="Times New Roman"/>
          <w:bCs/>
          <w:i/>
          <w:iCs/>
          <w:sz w:val="24"/>
          <w:szCs w:val="24"/>
          <w:lang w:eastAsia="hr-HR"/>
        </w:rPr>
      </w:pPr>
      <w:r w:rsidRPr="006A6FE5">
        <w:rPr>
          <w:rFonts w:ascii="Times New Roman" w:eastAsia="Calibri" w:hAnsi="Times New Roman" w:cs="Times New Roman"/>
          <w:bCs/>
          <w:i/>
          <w:iCs/>
          <w:sz w:val="24"/>
          <w:szCs w:val="24"/>
          <w:lang w:eastAsia="hr-HR"/>
        </w:rPr>
        <w:t>Ured je, na vlastitu inicijativu ili na zahtjev tijela kaznenog progona ili inozemnih FOJ izdao značajan broj naloga obveznicima za privremenu obustavu izvršenja sumnjivih transakcija i naloga za stalno praćenje financijskog poslovanja, što pokazuje sposobnost nadležnih tijela da identificiraju i prate nezakonito stečenu imovinu.</w:t>
      </w:r>
    </w:p>
    <w:p w14:paraId="4D3B0CAD" w14:textId="77777777" w:rsidR="004665E0" w:rsidRPr="006A6FE5" w:rsidRDefault="004665E0" w:rsidP="004665E0">
      <w:pPr>
        <w:spacing w:before="120" w:after="0" w:line="240" w:lineRule="auto"/>
        <w:ind w:left="426"/>
        <w:jc w:val="both"/>
        <w:rPr>
          <w:rFonts w:ascii="Times New Roman" w:eastAsia="Calibri" w:hAnsi="Times New Roman" w:cs="Times New Roman"/>
          <w:bCs/>
          <w:i/>
          <w:iCs/>
          <w:sz w:val="24"/>
          <w:szCs w:val="24"/>
          <w:lang w:eastAsia="hr-HR"/>
        </w:rPr>
      </w:pPr>
      <w:r w:rsidRPr="006A6FE5">
        <w:rPr>
          <w:rFonts w:ascii="Times New Roman" w:eastAsia="Calibri" w:hAnsi="Times New Roman" w:cs="Times New Roman"/>
          <w:bCs/>
          <w:i/>
          <w:iCs/>
          <w:sz w:val="24"/>
          <w:szCs w:val="24"/>
          <w:lang w:eastAsia="hr-HR"/>
        </w:rPr>
        <w:t>Ured aktivno surađuje s inozemnim FOJ prikupljajući i analizirajući financijsko-obavještajne podatke koji se u okviru konkretnih slučajeva dostavljaju tijelima kaznenog progona na nadležno postupanje.</w:t>
      </w:r>
    </w:p>
    <w:p w14:paraId="6D6238F0" w14:textId="77777777" w:rsidR="004665E0" w:rsidRPr="006A6FE5" w:rsidRDefault="004665E0" w:rsidP="004665E0">
      <w:pPr>
        <w:spacing w:before="120" w:after="0" w:line="240" w:lineRule="auto"/>
        <w:ind w:left="426"/>
        <w:jc w:val="both"/>
        <w:rPr>
          <w:rFonts w:ascii="Times New Roman" w:eastAsia="Calibri" w:hAnsi="Times New Roman" w:cs="Times New Roman"/>
          <w:bCs/>
          <w:i/>
          <w:iCs/>
          <w:sz w:val="24"/>
          <w:szCs w:val="24"/>
          <w:lang w:eastAsia="hr-HR"/>
        </w:rPr>
      </w:pPr>
      <w:r w:rsidRPr="006A6FE5">
        <w:rPr>
          <w:rFonts w:ascii="Times New Roman" w:eastAsia="Calibri" w:hAnsi="Times New Roman" w:cs="Times New Roman"/>
          <w:bCs/>
          <w:i/>
          <w:iCs/>
          <w:sz w:val="24"/>
          <w:szCs w:val="24"/>
          <w:lang w:eastAsia="hr-HR"/>
        </w:rPr>
        <w:t xml:space="preserve">Godišnja konferencija Ureda osigurava interaktivnu komunikaciju Ureda s obveznicima. Osim toga, Ured obveznicima pruža detaljne smjernice o informacijama koje trebaju sadržavati obavijesti o sumnjivim transakcijama i kontinuirano informira obveznike o novonastalim tipologijama i novim indikatorima za prepoznavanje sumnjivih transakcija. Korisnost ovih mjera potvrdili su obveznici i nadzorna tijela za vrijeme on-site posjeta evaluatora MONEYVAL-a Hrvatskoj. </w:t>
      </w:r>
    </w:p>
    <w:p w14:paraId="6C2F4532" w14:textId="77777777" w:rsidR="004665E0" w:rsidRPr="006A6FE5" w:rsidRDefault="004665E0" w:rsidP="004665E0">
      <w:pPr>
        <w:spacing w:before="120" w:after="0" w:line="240" w:lineRule="auto"/>
        <w:ind w:left="426"/>
        <w:jc w:val="both"/>
        <w:rPr>
          <w:rFonts w:ascii="Times New Roman" w:eastAsia="Calibri" w:hAnsi="Times New Roman" w:cs="Times New Roman"/>
          <w:bCs/>
          <w:i/>
          <w:iCs/>
          <w:sz w:val="24"/>
          <w:szCs w:val="24"/>
          <w:lang w:eastAsia="hr-HR"/>
        </w:rPr>
      </w:pPr>
      <w:r w:rsidRPr="006A6FE5">
        <w:rPr>
          <w:rFonts w:ascii="Times New Roman" w:eastAsia="Calibri" w:hAnsi="Times New Roman" w:cs="Times New Roman"/>
          <w:bCs/>
          <w:i/>
          <w:iCs/>
          <w:sz w:val="24"/>
          <w:szCs w:val="24"/>
          <w:lang w:eastAsia="hr-HR"/>
        </w:rPr>
        <w:t>Novi informacijski sustav Ureda, uspostavljen 01.01.2019., zajedno sa širokim rasponom informacija kojima Ured ima pristup, doprinosi kvaliteti operativnih analiza Ureda.</w:t>
      </w:r>
    </w:p>
    <w:p w14:paraId="6C7E92A9" w14:textId="77777777" w:rsidR="004665E0" w:rsidRPr="006A6FE5" w:rsidRDefault="004665E0" w:rsidP="004665E0">
      <w:pPr>
        <w:spacing w:before="120" w:after="0" w:line="240" w:lineRule="auto"/>
        <w:ind w:left="426"/>
        <w:jc w:val="both"/>
        <w:rPr>
          <w:rFonts w:ascii="Times New Roman" w:eastAsia="Calibri" w:hAnsi="Times New Roman" w:cs="Times New Roman"/>
          <w:bCs/>
          <w:i/>
          <w:iCs/>
          <w:sz w:val="24"/>
          <w:szCs w:val="24"/>
          <w:lang w:eastAsia="hr-HR"/>
        </w:rPr>
      </w:pPr>
      <w:r w:rsidRPr="006A6FE5">
        <w:rPr>
          <w:rFonts w:ascii="Times New Roman" w:eastAsia="Calibri" w:hAnsi="Times New Roman" w:cs="Times New Roman"/>
          <w:bCs/>
          <w:i/>
          <w:iCs/>
          <w:sz w:val="24"/>
          <w:szCs w:val="24"/>
          <w:lang w:eastAsia="hr-HR"/>
        </w:rPr>
        <w:t>Analitičko osoblje Ureda iskusno je i educirano unatoč činjenici da je u Uredu, u cijelom promatranom razdoblju (2015-2020) primijećen nedostatak ljudskih resursa koji je utjecao na njegovu sposobnost da u potpunosti obavlja poslove iz svoje nadležnosti.</w:t>
      </w:r>
    </w:p>
    <w:p w14:paraId="4ECD5534" w14:textId="77777777" w:rsidR="004665E0" w:rsidRPr="006A6FE5" w:rsidRDefault="004665E0" w:rsidP="004665E0">
      <w:pPr>
        <w:spacing w:before="120" w:after="0" w:line="240" w:lineRule="auto"/>
        <w:ind w:left="426"/>
        <w:jc w:val="both"/>
        <w:rPr>
          <w:rFonts w:ascii="Times New Roman" w:eastAsia="Calibri" w:hAnsi="Times New Roman" w:cs="Times New Roman"/>
          <w:bCs/>
          <w:i/>
          <w:iCs/>
          <w:sz w:val="24"/>
          <w:szCs w:val="24"/>
          <w:lang w:eastAsia="hr-HR"/>
        </w:rPr>
      </w:pPr>
      <w:r w:rsidRPr="006A6FE5">
        <w:rPr>
          <w:rFonts w:ascii="Times New Roman" w:eastAsia="Calibri" w:hAnsi="Times New Roman" w:cs="Times New Roman"/>
          <w:bCs/>
          <w:i/>
          <w:iCs/>
          <w:sz w:val="24"/>
          <w:szCs w:val="24"/>
          <w:lang w:eastAsia="hr-HR"/>
        </w:rPr>
        <w:t>Ured provodi strateške analize podataka prikupljenih od obveznika, nadležnih tijela i inozemnih FOJ, temeljem kojih utvrđuje najčešće tipologije i trendove pranja novca. Navedene analize u okviru Godišnjih izvješća Ureda distribuiraju se nadležnim tijelima i stavljaju na raspolaganje obveznicima budući su javno objavljena, što naglašava njihovu korisnost.</w:t>
      </w:r>
    </w:p>
    <w:p w14:paraId="364A96D0" w14:textId="77777777" w:rsidR="004665E0" w:rsidRPr="006A6FE5" w:rsidRDefault="004665E0" w:rsidP="004665E0">
      <w:pPr>
        <w:spacing w:after="0" w:line="240" w:lineRule="auto"/>
        <w:jc w:val="both"/>
        <w:rPr>
          <w:rFonts w:ascii="Times New Roman" w:eastAsia="Calibri" w:hAnsi="Times New Roman" w:cs="Times New Roman"/>
          <w:bCs/>
          <w:iCs/>
          <w:sz w:val="24"/>
          <w:szCs w:val="24"/>
          <w:lang w:eastAsia="hr-HR"/>
        </w:rPr>
      </w:pPr>
    </w:p>
    <w:p w14:paraId="62DA35B0" w14:textId="77777777" w:rsidR="004665E0" w:rsidRPr="006A6FE5" w:rsidRDefault="004665E0" w:rsidP="004665E0">
      <w:pPr>
        <w:rPr>
          <w:rFonts w:ascii="Times New Roman" w:hAnsi="Times New Roman"/>
          <w:sz w:val="24"/>
          <w:szCs w:val="24"/>
        </w:rPr>
      </w:pPr>
    </w:p>
    <w:p w14:paraId="684A9EBD" w14:textId="77777777" w:rsidR="004665E0" w:rsidRPr="006A6FE5" w:rsidRDefault="004665E0" w:rsidP="004665E0">
      <w:pPr>
        <w:rPr>
          <w:rFonts w:ascii="Times New Roman" w:eastAsia="Calibri" w:hAnsi="Times New Roman" w:cs="Times New Roman"/>
          <w:bCs/>
          <w:sz w:val="24"/>
          <w:szCs w:val="24"/>
          <w:lang w:eastAsia="hr-HR"/>
        </w:rPr>
      </w:pPr>
      <w:r w:rsidRPr="006A6FE5">
        <w:rPr>
          <w:rFonts w:eastAsia="Calibri"/>
        </w:rPr>
        <w:br w:type="page"/>
      </w:r>
    </w:p>
    <w:p w14:paraId="7D365801" w14:textId="77777777" w:rsidR="004665E0" w:rsidRPr="004665E0" w:rsidRDefault="004665E0" w:rsidP="004665E0">
      <w:pPr>
        <w:widowControl w:val="0"/>
        <w:autoSpaceDE w:val="0"/>
        <w:autoSpaceDN w:val="0"/>
        <w:adjustRightInd w:val="0"/>
        <w:spacing w:after="0" w:line="240" w:lineRule="auto"/>
        <w:ind w:left="720"/>
        <w:jc w:val="both"/>
        <w:rPr>
          <w:rFonts w:ascii="Times New Roman" w:eastAsia="Times New Roman" w:hAnsi="Times New Roman" w:cs="Times New Roman"/>
          <w:b/>
          <w:bCs/>
          <w:sz w:val="24"/>
          <w:szCs w:val="24"/>
        </w:rPr>
      </w:pPr>
      <w:r w:rsidRPr="004665E0">
        <w:rPr>
          <w:rFonts w:ascii="Times New Roman" w:eastAsia="Times New Roman" w:hAnsi="Times New Roman" w:cs="Times New Roman"/>
          <w:b/>
          <w:bCs/>
          <w:sz w:val="24"/>
          <w:szCs w:val="24"/>
        </w:rPr>
        <w:lastRenderedPageBreak/>
        <w:t>ZAKLJUČAK</w:t>
      </w:r>
    </w:p>
    <w:p w14:paraId="28DB07F0" w14:textId="77777777" w:rsidR="004665E0" w:rsidRPr="004665E0" w:rsidRDefault="004665E0" w:rsidP="004665E0">
      <w:pPr>
        <w:spacing w:after="0" w:line="240" w:lineRule="auto"/>
        <w:jc w:val="both"/>
        <w:rPr>
          <w:rFonts w:ascii="Times New Roman" w:eastAsia="Calibri" w:hAnsi="Times New Roman" w:cs="Times New Roman"/>
          <w:b/>
          <w:bCs/>
          <w:sz w:val="24"/>
          <w:szCs w:val="24"/>
        </w:rPr>
      </w:pPr>
    </w:p>
    <w:p w14:paraId="354F68AB" w14:textId="0D81FB84" w:rsidR="004665E0" w:rsidRPr="004665E0" w:rsidRDefault="004665E0" w:rsidP="004665E0">
      <w:pPr>
        <w:spacing w:after="0" w:line="240" w:lineRule="auto"/>
        <w:jc w:val="both"/>
        <w:rPr>
          <w:rFonts w:ascii="Times New Roman" w:eastAsia="Calibri" w:hAnsi="Times New Roman" w:cs="Times New Roman"/>
          <w:strike/>
          <w:sz w:val="24"/>
          <w:szCs w:val="24"/>
        </w:rPr>
      </w:pPr>
    </w:p>
    <w:p w14:paraId="426F2FAE" w14:textId="77777777" w:rsidR="004665E0" w:rsidRPr="004665E0" w:rsidRDefault="004665E0" w:rsidP="004665E0">
      <w:pPr>
        <w:spacing w:after="0" w:line="240" w:lineRule="auto"/>
        <w:jc w:val="both"/>
        <w:rPr>
          <w:rFonts w:ascii="Times New Roman" w:eastAsia="Calibri" w:hAnsi="Times New Roman" w:cs="Times New Roman"/>
          <w:sz w:val="24"/>
          <w:szCs w:val="24"/>
        </w:rPr>
      </w:pPr>
      <w:r w:rsidRPr="004665E0">
        <w:rPr>
          <w:rFonts w:ascii="Times New Roman" w:eastAsia="Calibri" w:hAnsi="Times New Roman" w:cs="Times New Roman"/>
          <w:sz w:val="24"/>
          <w:szCs w:val="24"/>
        </w:rPr>
        <w:t xml:space="preserve">U svrhu daljnjeg unaprjeđenja sustava, Ured provodi i planira provedbu projekata koji obuhvaćaju niz aktivnosti za postizanje ciljeva unapređenja sustava sprječavanja pranja novca i financiranja terorizma: </w:t>
      </w:r>
    </w:p>
    <w:p w14:paraId="3E84EB98" w14:textId="77777777" w:rsidR="004665E0" w:rsidRPr="004665E0" w:rsidRDefault="004665E0" w:rsidP="004665E0">
      <w:pPr>
        <w:spacing w:after="0" w:line="240" w:lineRule="auto"/>
        <w:jc w:val="both"/>
        <w:rPr>
          <w:rFonts w:ascii="Times New Roman" w:eastAsia="Calibri" w:hAnsi="Times New Roman" w:cs="Times New Roman"/>
          <w:b/>
          <w:bCs/>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4285"/>
        <w:gridCol w:w="2694"/>
      </w:tblGrid>
      <w:tr w:rsidR="004665E0" w:rsidRPr="004665E0" w14:paraId="4EE743EE" w14:textId="77777777" w:rsidTr="004665E0">
        <w:trPr>
          <w:trHeight w:val="435"/>
        </w:trPr>
        <w:tc>
          <w:tcPr>
            <w:tcW w:w="9498" w:type="dxa"/>
            <w:gridSpan w:val="3"/>
            <w:shd w:val="clear" w:color="auto" w:fill="DEEAF6"/>
            <w:vAlign w:val="center"/>
          </w:tcPr>
          <w:p w14:paraId="0C4F07B4" w14:textId="77777777" w:rsidR="004665E0" w:rsidRPr="004665E0" w:rsidRDefault="004665E0" w:rsidP="004665E0">
            <w:pPr>
              <w:spacing w:after="0" w:line="240" w:lineRule="auto"/>
              <w:jc w:val="center"/>
              <w:rPr>
                <w:rFonts w:ascii="Times New Roman" w:eastAsia="Calibri" w:hAnsi="Times New Roman" w:cs="Times New Roman"/>
              </w:rPr>
            </w:pPr>
            <w:r w:rsidRPr="004665E0">
              <w:rPr>
                <w:rFonts w:ascii="Times New Roman" w:eastAsia="Calibri" w:hAnsi="Times New Roman" w:cs="Times New Roman"/>
              </w:rPr>
              <w:t xml:space="preserve">Planirani projekti </w:t>
            </w:r>
          </w:p>
        </w:tc>
      </w:tr>
      <w:tr w:rsidR="004665E0" w:rsidRPr="004665E0" w14:paraId="787AAF58" w14:textId="77777777" w:rsidTr="004665E0">
        <w:trPr>
          <w:trHeight w:val="567"/>
        </w:trPr>
        <w:tc>
          <w:tcPr>
            <w:tcW w:w="2519" w:type="dxa"/>
            <w:shd w:val="clear" w:color="auto" w:fill="F2F2F2"/>
            <w:vAlign w:val="center"/>
          </w:tcPr>
          <w:p w14:paraId="1925DC80" w14:textId="77777777" w:rsidR="004665E0" w:rsidRPr="004665E0" w:rsidRDefault="004665E0" w:rsidP="004665E0">
            <w:pPr>
              <w:spacing w:after="0" w:line="240" w:lineRule="auto"/>
              <w:jc w:val="center"/>
              <w:rPr>
                <w:rFonts w:ascii="Times New Roman" w:eastAsia="Calibri" w:hAnsi="Times New Roman" w:cs="Times New Roman"/>
              </w:rPr>
            </w:pPr>
            <w:r w:rsidRPr="004665E0">
              <w:rPr>
                <w:rFonts w:ascii="Times New Roman" w:eastAsia="Calibri" w:hAnsi="Times New Roman" w:cs="Times New Roman"/>
              </w:rPr>
              <w:t>Naziv</w:t>
            </w:r>
          </w:p>
        </w:tc>
        <w:tc>
          <w:tcPr>
            <w:tcW w:w="4285" w:type="dxa"/>
            <w:shd w:val="clear" w:color="auto" w:fill="F2F2F2"/>
            <w:vAlign w:val="center"/>
          </w:tcPr>
          <w:p w14:paraId="5C88E893" w14:textId="77777777" w:rsidR="004665E0" w:rsidRPr="004665E0" w:rsidRDefault="004665E0" w:rsidP="004665E0">
            <w:pPr>
              <w:spacing w:after="0" w:line="240" w:lineRule="auto"/>
              <w:jc w:val="center"/>
              <w:rPr>
                <w:rFonts w:ascii="Times New Roman" w:eastAsia="Calibri" w:hAnsi="Times New Roman" w:cs="Times New Roman"/>
              </w:rPr>
            </w:pPr>
            <w:r w:rsidRPr="004665E0">
              <w:rPr>
                <w:rFonts w:ascii="Times New Roman" w:eastAsia="Calibri" w:hAnsi="Times New Roman" w:cs="Times New Roman"/>
              </w:rPr>
              <w:t>Aktivnosti u provedbi projekta</w:t>
            </w:r>
          </w:p>
        </w:tc>
        <w:tc>
          <w:tcPr>
            <w:tcW w:w="2694" w:type="dxa"/>
            <w:shd w:val="clear" w:color="auto" w:fill="F2F2F2"/>
            <w:vAlign w:val="center"/>
          </w:tcPr>
          <w:p w14:paraId="0B4F3396" w14:textId="77777777" w:rsidR="004665E0" w:rsidRPr="004665E0" w:rsidRDefault="004665E0" w:rsidP="004665E0">
            <w:pPr>
              <w:spacing w:after="0" w:line="240" w:lineRule="auto"/>
              <w:jc w:val="center"/>
              <w:rPr>
                <w:rFonts w:ascii="Times New Roman" w:eastAsia="Calibri" w:hAnsi="Times New Roman" w:cs="Times New Roman"/>
              </w:rPr>
            </w:pPr>
            <w:r w:rsidRPr="004665E0">
              <w:rPr>
                <w:rFonts w:ascii="Times New Roman" w:eastAsia="Calibri" w:hAnsi="Times New Roman" w:cs="Times New Roman"/>
              </w:rPr>
              <w:t>Cilj</w:t>
            </w:r>
          </w:p>
        </w:tc>
      </w:tr>
      <w:tr w:rsidR="004665E0" w:rsidRPr="004665E0" w14:paraId="18A8276D" w14:textId="77777777" w:rsidTr="004665E0">
        <w:trPr>
          <w:trHeight w:val="1398"/>
        </w:trPr>
        <w:tc>
          <w:tcPr>
            <w:tcW w:w="2519" w:type="dxa"/>
            <w:shd w:val="clear" w:color="auto" w:fill="auto"/>
          </w:tcPr>
          <w:p w14:paraId="15A5C978" w14:textId="612D69BD" w:rsidR="004665E0" w:rsidRPr="00BC7296" w:rsidRDefault="004665E0" w:rsidP="008D0678">
            <w:pPr>
              <w:spacing w:before="120" w:after="0" w:line="240" w:lineRule="auto"/>
              <w:rPr>
                <w:rFonts w:ascii="Times New Roman" w:eastAsia="Calibri" w:hAnsi="Times New Roman" w:cs="Times New Roman"/>
                <w:bCs/>
                <w:sz w:val="24"/>
                <w:szCs w:val="24"/>
              </w:rPr>
            </w:pPr>
            <w:r w:rsidRPr="00BC7296">
              <w:rPr>
                <w:rFonts w:ascii="Times New Roman" w:eastAsia="Calibri" w:hAnsi="Times New Roman" w:cs="Times New Roman"/>
                <w:bCs/>
                <w:sz w:val="24"/>
                <w:szCs w:val="24"/>
              </w:rPr>
              <w:t xml:space="preserve">Provedbe mjera iz Akcijskog </w:t>
            </w:r>
            <w:r w:rsidRPr="00BC7296">
              <w:rPr>
                <w:rFonts w:ascii="Times New Roman" w:hAnsi="Times New Roman" w:cs="Times New Roman"/>
                <w:sz w:val="24"/>
                <w:szCs w:val="24"/>
              </w:rPr>
              <w:t xml:space="preserve">plana za </w:t>
            </w:r>
            <w:r w:rsidR="00BC7296" w:rsidRPr="00BC7296">
              <w:rPr>
                <w:rFonts w:ascii="Times New Roman" w:hAnsi="Times New Roman" w:cs="Times New Roman"/>
                <w:sz w:val="24"/>
                <w:szCs w:val="24"/>
              </w:rPr>
              <w:t>otklanjanje rizika od pranja novca i financiranja terorizma</w:t>
            </w:r>
          </w:p>
        </w:tc>
        <w:tc>
          <w:tcPr>
            <w:tcW w:w="4285" w:type="dxa"/>
            <w:shd w:val="clear" w:color="auto" w:fill="auto"/>
          </w:tcPr>
          <w:p w14:paraId="5E32AF63" w14:textId="34311239" w:rsidR="004665E0" w:rsidRDefault="00BC7296" w:rsidP="00BC7296">
            <w:pPr>
              <w:shd w:val="clear" w:color="auto" w:fill="FFFFFF"/>
              <w:spacing w:after="0" w:line="24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Ured je sunositelj i sudionik provedbe mjera za otklanjanje rizika od pranja novca i financiranja terorizma koje će se provoditi tijekom 2023. Mjere se mogu sadržajno podijeliti na sljedeća područja:</w:t>
            </w:r>
          </w:p>
          <w:p w14:paraId="3C64DCF8" w14:textId="77777777" w:rsidR="00BC7296" w:rsidRDefault="00BC7296" w:rsidP="00BC7296">
            <w:pPr>
              <w:pStyle w:val="Odlomakpopisa"/>
              <w:numPr>
                <w:ilvl w:val="0"/>
                <w:numId w:val="5"/>
              </w:numPr>
              <w:shd w:val="clear" w:color="auto" w:fill="FFFFFF"/>
              <w:ind w:left="495" w:hanging="284"/>
              <w:jc w:val="both"/>
              <w:textAlignment w:val="baseline"/>
              <w:rPr>
                <w:rFonts w:ascii="Times New Roman" w:hAnsi="Times New Roman"/>
                <w:b w:val="0"/>
                <w:sz w:val="24"/>
                <w:szCs w:val="24"/>
                <w:lang w:eastAsia="hr-HR"/>
              </w:rPr>
            </w:pPr>
            <w:r w:rsidRPr="00BC7296">
              <w:rPr>
                <w:rFonts w:ascii="Times New Roman" w:hAnsi="Times New Roman"/>
                <w:b w:val="0"/>
                <w:sz w:val="24"/>
                <w:szCs w:val="24"/>
                <w:lang w:eastAsia="hr-HR"/>
              </w:rPr>
              <w:t>Zajedničke radionice nadlež</w:t>
            </w:r>
            <w:r>
              <w:rPr>
                <w:rFonts w:ascii="Times New Roman" w:hAnsi="Times New Roman"/>
                <w:b w:val="0"/>
                <w:sz w:val="24"/>
                <w:szCs w:val="24"/>
                <w:lang w:eastAsia="hr-HR"/>
              </w:rPr>
              <w:t>nih državnih tijela i obveznika;</w:t>
            </w:r>
          </w:p>
          <w:p w14:paraId="25D80451" w14:textId="3DADA212" w:rsidR="00BC7296" w:rsidRDefault="00BC7296" w:rsidP="00BC7296">
            <w:pPr>
              <w:pStyle w:val="Odlomakpopisa"/>
              <w:numPr>
                <w:ilvl w:val="0"/>
                <w:numId w:val="5"/>
              </w:numPr>
              <w:shd w:val="clear" w:color="auto" w:fill="FFFFFF"/>
              <w:ind w:left="495" w:hanging="284"/>
              <w:jc w:val="both"/>
              <w:textAlignment w:val="baseline"/>
              <w:rPr>
                <w:rFonts w:ascii="Times New Roman" w:hAnsi="Times New Roman"/>
                <w:b w:val="0"/>
                <w:sz w:val="24"/>
                <w:szCs w:val="24"/>
                <w:lang w:eastAsia="hr-HR"/>
              </w:rPr>
            </w:pPr>
            <w:r>
              <w:rPr>
                <w:rFonts w:ascii="Times New Roman" w:hAnsi="Times New Roman"/>
                <w:b w:val="0"/>
                <w:sz w:val="24"/>
                <w:szCs w:val="24"/>
                <w:lang w:eastAsia="hr-HR"/>
              </w:rPr>
              <w:t>Provođenje zakonskih ovlasti (analiza slučajeva sa sumnjom na pranje novca ili financiranje terorizma; blokada transakcija, strategijske analize);</w:t>
            </w:r>
          </w:p>
          <w:p w14:paraId="5F5E6E9B" w14:textId="77777777" w:rsidR="00BC7296" w:rsidRDefault="00BC7296" w:rsidP="00BC7296">
            <w:pPr>
              <w:pStyle w:val="Odlomakpopisa"/>
              <w:numPr>
                <w:ilvl w:val="0"/>
                <w:numId w:val="5"/>
              </w:numPr>
              <w:shd w:val="clear" w:color="auto" w:fill="FFFFFF"/>
              <w:ind w:left="495" w:hanging="284"/>
              <w:jc w:val="both"/>
              <w:textAlignment w:val="baseline"/>
              <w:rPr>
                <w:rFonts w:ascii="Times New Roman" w:hAnsi="Times New Roman"/>
                <w:b w:val="0"/>
                <w:sz w:val="24"/>
                <w:szCs w:val="24"/>
                <w:lang w:eastAsia="hr-HR"/>
              </w:rPr>
            </w:pPr>
            <w:r>
              <w:rPr>
                <w:rFonts w:ascii="Times New Roman" w:hAnsi="Times New Roman"/>
                <w:b w:val="0"/>
                <w:sz w:val="24"/>
                <w:szCs w:val="24"/>
                <w:lang w:eastAsia="hr-HR"/>
              </w:rPr>
              <w:t>Nastavak procjene rizika u sektoru nekretnina;</w:t>
            </w:r>
          </w:p>
          <w:p w14:paraId="142EB5DF" w14:textId="0DC84B2F" w:rsidR="00BC7296" w:rsidRPr="00BC7296" w:rsidRDefault="00BC7296" w:rsidP="00BC7296">
            <w:pPr>
              <w:pStyle w:val="Odlomakpopisa"/>
              <w:numPr>
                <w:ilvl w:val="0"/>
                <w:numId w:val="5"/>
              </w:numPr>
              <w:shd w:val="clear" w:color="auto" w:fill="FFFFFF"/>
              <w:ind w:left="495" w:hanging="284"/>
              <w:jc w:val="both"/>
              <w:textAlignment w:val="baseline"/>
              <w:rPr>
                <w:rFonts w:ascii="Times New Roman" w:hAnsi="Times New Roman"/>
                <w:b w:val="0"/>
                <w:sz w:val="24"/>
                <w:szCs w:val="24"/>
                <w:lang w:eastAsia="hr-HR"/>
              </w:rPr>
            </w:pPr>
            <w:r>
              <w:rPr>
                <w:rFonts w:ascii="Times New Roman" w:hAnsi="Times New Roman"/>
                <w:b w:val="0"/>
                <w:sz w:val="24"/>
                <w:szCs w:val="24"/>
                <w:lang w:eastAsia="hr-HR"/>
              </w:rPr>
              <w:t>Jačanje resursa Ureda.</w:t>
            </w:r>
          </w:p>
        </w:tc>
        <w:tc>
          <w:tcPr>
            <w:tcW w:w="2694" w:type="dxa"/>
            <w:shd w:val="clear" w:color="auto" w:fill="auto"/>
          </w:tcPr>
          <w:p w14:paraId="5F03E51B" w14:textId="26F38E20" w:rsidR="004665E0" w:rsidRPr="00BC7296" w:rsidRDefault="00BC7296" w:rsidP="00BC7296">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lang w:eastAsia="hr-HR"/>
              </w:rPr>
              <w:t>Otklanjanje ranjivosti u sustavu sprječavanja pranja novca i financiranja terorizma utvrđenih Nacionalnom procjenom rizika od pranja novca i financiranja terorizma.</w:t>
            </w:r>
          </w:p>
          <w:p w14:paraId="3F3CC040" w14:textId="77777777" w:rsidR="004665E0" w:rsidRPr="00BC7296" w:rsidRDefault="004665E0" w:rsidP="004665E0">
            <w:pPr>
              <w:spacing w:after="0" w:line="240" w:lineRule="auto"/>
              <w:rPr>
                <w:rFonts w:ascii="Times New Roman" w:eastAsia="Calibri" w:hAnsi="Times New Roman" w:cs="Times New Roman"/>
              </w:rPr>
            </w:pPr>
          </w:p>
        </w:tc>
      </w:tr>
      <w:tr w:rsidR="004665E0" w:rsidRPr="004665E0" w14:paraId="6CB81CDF" w14:textId="77777777" w:rsidTr="004665E0">
        <w:trPr>
          <w:trHeight w:val="1193"/>
        </w:trPr>
        <w:tc>
          <w:tcPr>
            <w:tcW w:w="2519" w:type="dxa"/>
            <w:shd w:val="clear" w:color="auto" w:fill="auto"/>
          </w:tcPr>
          <w:p w14:paraId="05FD41B7" w14:textId="77777777" w:rsidR="004665E0" w:rsidRPr="00BC7296" w:rsidRDefault="004665E0" w:rsidP="008248CF">
            <w:pPr>
              <w:spacing w:before="120" w:after="0" w:line="240" w:lineRule="auto"/>
              <w:jc w:val="both"/>
              <w:rPr>
                <w:rFonts w:ascii="Times New Roman" w:eastAsia="Calibri" w:hAnsi="Times New Roman" w:cs="Times New Roman"/>
                <w:sz w:val="24"/>
                <w:szCs w:val="24"/>
              </w:rPr>
            </w:pPr>
            <w:r w:rsidRPr="00BC7296">
              <w:rPr>
                <w:rFonts w:ascii="Times New Roman" w:eastAsia="Calibri" w:hAnsi="Times New Roman" w:cs="Times New Roman"/>
                <w:bCs/>
                <w:sz w:val="24"/>
                <w:szCs w:val="24"/>
              </w:rPr>
              <w:t>Popunjavanje sistematiziranih nepopunjenih radnih mjesta analitičarima</w:t>
            </w:r>
          </w:p>
        </w:tc>
        <w:tc>
          <w:tcPr>
            <w:tcW w:w="4285" w:type="dxa"/>
            <w:shd w:val="clear" w:color="auto" w:fill="auto"/>
          </w:tcPr>
          <w:p w14:paraId="5FCEB709" w14:textId="77777777" w:rsidR="004665E0" w:rsidRPr="00BC7296" w:rsidRDefault="004665E0" w:rsidP="008248CF">
            <w:pPr>
              <w:spacing w:after="0" w:line="240" w:lineRule="auto"/>
              <w:jc w:val="both"/>
              <w:rPr>
                <w:rFonts w:ascii="Times New Roman" w:eastAsia="Calibri" w:hAnsi="Times New Roman" w:cs="Times New Roman"/>
                <w:sz w:val="24"/>
                <w:szCs w:val="24"/>
              </w:rPr>
            </w:pPr>
            <w:r w:rsidRPr="00BC7296">
              <w:rPr>
                <w:rFonts w:ascii="Times New Roman" w:eastAsia="SimSun" w:hAnsi="Times New Roman" w:cs="Times New Roman"/>
                <w:sz w:val="24"/>
                <w:szCs w:val="24"/>
                <w:lang w:eastAsia="zh-CN"/>
              </w:rPr>
              <w:t>Proveden je natječaj za prijam u državnu službu na neodređeno vrijeme za dvoje stručnih. Temeljem provedenog natječaja u lipnju 2021. dvoje stručnih suradnika započet će s radom u Uredu za sprječavanje pranja novca (u Službi za strategijske analize i informacijski sustav i Službi za prevenciju i nadzor obveznika)</w:t>
            </w:r>
          </w:p>
        </w:tc>
        <w:tc>
          <w:tcPr>
            <w:tcW w:w="2694" w:type="dxa"/>
            <w:shd w:val="clear" w:color="auto" w:fill="auto"/>
          </w:tcPr>
          <w:p w14:paraId="1850BEE5" w14:textId="77777777" w:rsidR="004665E0" w:rsidRPr="00BC7296" w:rsidRDefault="004665E0" w:rsidP="008248CF">
            <w:pPr>
              <w:spacing w:after="0" w:line="240" w:lineRule="auto"/>
              <w:jc w:val="both"/>
              <w:rPr>
                <w:rFonts w:ascii="Times New Roman" w:eastAsia="Calibri" w:hAnsi="Times New Roman" w:cs="Times New Roman"/>
                <w:sz w:val="24"/>
                <w:szCs w:val="24"/>
              </w:rPr>
            </w:pPr>
            <w:r w:rsidRPr="00BC7296">
              <w:rPr>
                <w:rFonts w:ascii="Times New Roman" w:eastAsia="Calibri" w:hAnsi="Times New Roman" w:cs="Times New Roman"/>
                <w:sz w:val="24"/>
                <w:szCs w:val="24"/>
              </w:rPr>
              <w:t>Administrativno i institucionalno jačanje Ureda.</w:t>
            </w:r>
          </w:p>
        </w:tc>
      </w:tr>
      <w:tr w:rsidR="004665E0" w:rsidRPr="004665E0" w14:paraId="5AB589BB" w14:textId="77777777" w:rsidTr="004665E0">
        <w:tc>
          <w:tcPr>
            <w:tcW w:w="2519" w:type="dxa"/>
            <w:shd w:val="clear" w:color="auto" w:fill="auto"/>
          </w:tcPr>
          <w:p w14:paraId="6E38945D" w14:textId="77777777" w:rsidR="004665E0" w:rsidRPr="00BC7296" w:rsidRDefault="004665E0" w:rsidP="00BC7296">
            <w:pPr>
              <w:spacing w:before="120" w:after="0" w:line="240" w:lineRule="auto"/>
              <w:jc w:val="both"/>
              <w:rPr>
                <w:rFonts w:ascii="Times New Roman" w:eastAsia="Calibri" w:hAnsi="Times New Roman" w:cs="Times New Roman"/>
                <w:sz w:val="24"/>
                <w:szCs w:val="24"/>
              </w:rPr>
            </w:pPr>
            <w:r w:rsidRPr="00BC7296">
              <w:rPr>
                <w:rFonts w:ascii="Times New Roman" w:eastAsia="Calibri" w:hAnsi="Times New Roman" w:cs="Times New Roman"/>
                <w:bCs/>
                <w:sz w:val="24"/>
                <w:szCs w:val="24"/>
              </w:rPr>
              <w:t>Povezivanje Registra stvarnih vlasnika</w:t>
            </w:r>
            <w:r w:rsidRPr="00BC7296">
              <w:rPr>
                <w:rFonts w:ascii="Times New Roman" w:eastAsia="Calibri" w:hAnsi="Times New Roman" w:cs="Times New Roman"/>
                <w:sz w:val="24"/>
                <w:szCs w:val="24"/>
              </w:rPr>
              <w:t xml:space="preserve"> s registrima </w:t>
            </w:r>
            <w:r w:rsidRPr="00BC7296">
              <w:rPr>
                <w:rFonts w:ascii="Times New Roman" w:eastAsia="Calibri" w:hAnsi="Times New Roman" w:cs="Times New Roman"/>
                <w:bCs/>
                <w:sz w:val="24"/>
                <w:szCs w:val="24"/>
              </w:rPr>
              <w:t>stvarnih vlasnika</w:t>
            </w:r>
            <w:r w:rsidRPr="00BC7296">
              <w:rPr>
                <w:rFonts w:ascii="Times New Roman" w:eastAsia="Calibri" w:hAnsi="Times New Roman" w:cs="Times New Roman"/>
                <w:sz w:val="24"/>
                <w:szCs w:val="24"/>
              </w:rPr>
              <w:t xml:space="preserve"> iz drugih država članica putem europske središnje platforme</w:t>
            </w:r>
          </w:p>
        </w:tc>
        <w:tc>
          <w:tcPr>
            <w:tcW w:w="4285" w:type="dxa"/>
            <w:shd w:val="clear" w:color="auto" w:fill="auto"/>
          </w:tcPr>
          <w:p w14:paraId="0BA0AFA5" w14:textId="77777777" w:rsidR="004665E0" w:rsidRPr="00BC7296" w:rsidRDefault="004665E0" w:rsidP="00BC7296">
            <w:pPr>
              <w:spacing w:after="0" w:line="240" w:lineRule="auto"/>
              <w:jc w:val="both"/>
              <w:rPr>
                <w:rFonts w:ascii="Times New Roman" w:eastAsia="Calibri" w:hAnsi="Times New Roman" w:cs="Times New Roman"/>
                <w:sz w:val="24"/>
                <w:szCs w:val="24"/>
              </w:rPr>
            </w:pPr>
            <w:r w:rsidRPr="00BC7296">
              <w:rPr>
                <w:rFonts w:ascii="Times New Roman" w:eastAsia="Calibri" w:hAnsi="Times New Roman" w:cs="Times New Roman"/>
                <w:sz w:val="24"/>
                <w:szCs w:val="24"/>
              </w:rPr>
              <w:t>U 2020. Europska komisija započela je aktivnosti vezane za povezivanje središnjih registara stvarnih vlasnika država članica sukladno odredbama 5. Direktive EU 2018/843 EP i Vijeća i preporukama FATF-a. U aktivnosti vezane za povezivanje registara uključeni su Ured i Financijska agencija koja operativno vodi Registar.</w:t>
            </w:r>
          </w:p>
        </w:tc>
        <w:tc>
          <w:tcPr>
            <w:tcW w:w="2694" w:type="dxa"/>
            <w:shd w:val="clear" w:color="auto" w:fill="auto"/>
          </w:tcPr>
          <w:p w14:paraId="2E7F0A29" w14:textId="6657280F" w:rsidR="004665E0" w:rsidRPr="00BC7296" w:rsidRDefault="004665E0" w:rsidP="00BC7296">
            <w:pPr>
              <w:spacing w:after="0" w:line="240" w:lineRule="auto"/>
              <w:jc w:val="both"/>
              <w:rPr>
                <w:rFonts w:ascii="Times New Roman" w:eastAsia="Calibri" w:hAnsi="Times New Roman" w:cs="Times New Roman"/>
                <w:sz w:val="24"/>
                <w:szCs w:val="24"/>
              </w:rPr>
            </w:pPr>
            <w:r w:rsidRPr="00BC7296">
              <w:rPr>
                <w:rFonts w:ascii="Times New Roman" w:eastAsia="Calibri" w:hAnsi="Times New Roman" w:cs="Times New Roman"/>
                <w:sz w:val="24"/>
                <w:szCs w:val="24"/>
              </w:rPr>
              <w:t xml:space="preserve">Unapređenje razmjene podataka </w:t>
            </w:r>
            <w:r w:rsidR="001C1BC7" w:rsidRPr="00BC7296">
              <w:rPr>
                <w:rFonts w:ascii="Times New Roman" w:eastAsia="Calibri" w:hAnsi="Times New Roman" w:cs="Times New Roman"/>
                <w:sz w:val="24"/>
                <w:szCs w:val="24"/>
              </w:rPr>
              <w:t>država članica EU</w:t>
            </w:r>
            <w:r w:rsidRPr="00BC7296">
              <w:rPr>
                <w:rFonts w:ascii="Times New Roman" w:eastAsia="Calibri" w:hAnsi="Times New Roman" w:cs="Times New Roman"/>
                <w:sz w:val="24"/>
                <w:szCs w:val="24"/>
              </w:rPr>
              <w:t xml:space="preserve"> vezano za stvarno vlasništvo pravnih subjekata.</w:t>
            </w:r>
          </w:p>
        </w:tc>
      </w:tr>
    </w:tbl>
    <w:p w14:paraId="4CD890DD" w14:textId="77777777" w:rsidR="004665E0" w:rsidRPr="004665E0" w:rsidRDefault="004665E0" w:rsidP="004665E0">
      <w:pPr>
        <w:rPr>
          <w:rFonts w:ascii="Arial" w:eastAsia="Calibri" w:hAnsi="Arial" w:cs="Arial"/>
          <w:sz w:val="20"/>
          <w:szCs w:val="20"/>
        </w:rPr>
      </w:pPr>
    </w:p>
    <w:p w14:paraId="7C1DB146" w14:textId="75C6DAE6" w:rsidR="008248CF" w:rsidRDefault="008248CF">
      <w:pPr>
        <w:rPr>
          <w:rFonts w:ascii="Arial" w:eastAsia="Calibri" w:hAnsi="Arial" w:cs="Arial"/>
          <w:sz w:val="20"/>
          <w:szCs w:val="20"/>
        </w:rPr>
      </w:pPr>
      <w:r>
        <w:rPr>
          <w:rFonts w:ascii="Arial" w:eastAsia="Calibri" w:hAnsi="Arial" w:cs="Arial"/>
          <w:sz w:val="20"/>
          <w:szCs w:val="20"/>
        </w:rPr>
        <w:br w:type="page"/>
      </w:r>
    </w:p>
    <w:p w14:paraId="68C8B12C" w14:textId="77777777" w:rsidR="004665E0" w:rsidRPr="004665E0" w:rsidRDefault="004665E0" w:rsidP="004665E0">
      <w:pPr>
        <w:spacing w:after="0" w:line="240" w:lineRule="auto"/>
        <w:rPr>
          <w:rFonts w:ascii="Times New Roman" w:eastAsia="Calibri" w:hAnsi="Times New Roman" w:cs="Times New Roman"/>
          <w:b/>
          <w:sz w:val="24"/>
          <w:szCs w:val="24"/>
        </w:rPr>
      </w:pPr>
    </w:p>
    <w:p w14:paraId="1A26C850" w14:textId="77777777" w:rsidR="004665E0" w:rsidRPr="004665E0" w:rsidRDefault="004665E0" w:rsidP="004665E0">
      <w:pPr>
        <w:spacing w:after="0" w:line="240" w:lineRule="auto"/>
        <w:rPr>
          <w:rFonts w:ascii="Times New Roman" w:eastAsia="Calibri" w:hAnsi="Times New Roman" w:cs="Times New Roman"/>
          <w:b/>
          <w:sz w:val="24"/>
          <w:szCs w:val="24"/>
        </w:rPr>
      </w:pPr>
    </w:p>
    <w:p w14:paraId="5CDF5E88" w14:textId="77777777" w:rsidR="004665E0" w:rsidRPr="004665E0" w:rsidRDefault="004665E0" w:rsidP="004665E0">
      <w:pPr>
        <w:spacing w:after="0" w:line="240" w:lineRule="auto"/>
        <w:rPr>
          <w:rFonts w:ascii="Times New Roman" w:eastAsia="Calibri" w:hAnsi="Times New Roman" w:cs="Times New Roman"/>
          <w:b/>
          <w:sz w:val="24"/>
          <w:szCs w:val="24"/>
        </w:rPr>
      </w:pPr>
    </w:p>
    <w:p w14:paraId="5C860A7A" w14:textId="172B3444" w:rsidR="004665E0" w:rsidRPr="004665E0" w:rsidRDefault="004665E0" w:rsidP="004665E0">
      <w:pPr>
        <w:spacing w:after="0" w:line="240" w:lineRule="auto"/>
        <w:rPr>
          <w:rFonts w:ascii="Times New Roman" w:eastAsia="Calibri" w:hAnsi="Times New Roman" w:cs="Times New Roman"/>
          <w:b/>
          <w:sz w:val="24"/>
          <w:szCs w:val="24"/>
        </w:rPr>
      </w:pPr>
    </w:p>
    <w:p w14:paraId="1D4CD685" w14:textId="77777777" w:rsidR="004665E0" w:rsidRPr="004665E0" w:rsidRDefault="004665E0" w:rsidP="004665E0">
      <w:pPr>
        <w:widowControl w:val="0"/>
        <w:tabs>
          <w:tab w:val="left" w:pos="8280"/>
          <w:tab w:val="left" w:pos="8400"/>
          <w:tab w:val="left" w:pos="8520"/>
        </w:tabs>
        <w:autoSpaceDE w:val="0"/>
        <w:autoSpaceDN w:val="0"/>
        <w:adjustRightInd w:val="0"/>
        <w:spacing w:after="0" w:line="240" w:lineRule="auto"/>
        <w:jc w:val="right"/>
        <w:rPr>
          <w:rFonts w:ascii="Times New Roman" w:eastAsia="Calibri" w:hAnsi="Times New Roman" w:cs="Times New Roman"/>
          <w:b/>
          <w:iCs/>
          <w:sz w:val="24"/>
          <w:szCs w:val="24"/>
        </w:rPr>
      </w:pPr>
      <w:r w:rsidRPr="004665E0">
        <w:rPr>
          <w:rFonts w:ascii="Times New Roman" w:eastAsia="Calibri" w:hAnsi="Times New Roman" w:cs="Times New Roman"/>
          <w:b/>
          <w:iCs/>
          <w:sz w:val="24"/>
          <w:szCs w:val="24"/>
        </w:rPr>
        <w:t>PREDSTOJNIK UREDA</w:t>
      </w:r>
    </w:p>
    <w:p w14:paraId="27CE7945" w14:textId="77777777" w:rsidR="004665E0" w:rsidRPr="004665E0" w:rsidRDefault="004665E0" w:rsidP="004665E0">
      <w:pPr>
        <w:widowControl w:val="0"/>
        <w:autoSpaceDE w:val="0"/>
        <w:autoSpaceDN w:val="0"/>
        <w:adjustRightInd w:val="0"/>
        <w:spacing w:after="0" w:line="240" w:lineRule="auto"/>
        <w:jc w:val="both"/>
        <w:rPr>
          <w:rFonts w:ascii="Times New Roman" w:eastAsia="Calibri" w:hAnsi="Times New Roman" w:cs="Times New Roman"/>
          <w:bCs/>
          <w:iCs/>
          <w:sz w:val="24"/>
          <w:szCs w:val="24"/>
        </w:rPr>
      </w:pPr>
    </w:p>
    <w:p w14:paraId="370F1473" w14:textId="77777777" w:rsidR="004665E0" w:rsidRPr="004665E0" w:rsidRDefault="004665E0" w:rsidP="004665E0">
      <w:pPr>
        <w:widowControl w:val="0"/>
        <w:autoSpaceDE w:val="0"/>
        <w:autoSpaceDN w:val="0"/>
        <w:adjustRightInd w:val="0"/>
        <w:spacing w:after="0" w:line="240" w:lineRule="auto"/>
        <w:jc w:val="both"/>
        <w:rPr>
          <w:rFonts w:ascii="Times New Roman" w:eastAsia="Calibri" w:hAnsi="Times New Roman" w:cs="Times New Roman"/>
          <w:bCs/>
          <w:iCs/>
          <w:sz w:val="24"/>
          <w:szCs w:val="24"/>
        </w:rPr>
      </w:pPr>
    </w:p>
    <w:p w14:paraId="58904516" w14:textId="77777777" w:rsidR="004665E0" w:rsidRPr="004665E0" w:rsidRDefault="004665E0" w:rsidP="004665E0">
      <w:pPr>
        <w:widowControl w:val="0"/>
        <w:autoSpaceDE w:val="0"/>
        <w:autoSpaceDN w:val="0"/>
        <w:adjustRightInd w:val="0"/>
        <w:spacing w:after="0" w:line="240" w:lineRule="auto"/>
        <w:jc w:val="right"/>
        <w:rPr>
          <w:rFonts w:ascii="Times New Roman" w:eastAsia="Calibri" w:hAnsi="Times New Roman" w:cs="Times New Roman"/>
          <w:bCs/>
          <w:sz w:val="24"/>
          <w:szCs w:val="24"/>
        </w:rPr>
      </w:pPr>
      <w:r w:rsidRPr="004665E0">
        <w:rPr>
          <w:rFonts w:ascii="Times New Roman" w:eastAsia="Calibri" w:hAnsi="Times New Roman" w:cs="Times New Roman"/>
          <w:bCs/>
          <w:sz w:val="24"/>
          <w:szCs w:val="24"/>
        </w:rPr>
        <w:t>Ante Biluš</w:t>
      </w:r>
    </w:p>
    <w:p w14:paraId="31B73782" w14:textId="72D33380" w:rsidR="004665E0" w:rsidRPr="004665E0" w:rsidRDefault="004665E0" w:rsidP="004665E0">
      <w:pPr>
        <w:widowControl w:val="0"/>
        <w:autoSpaceDE w:val="0"/>
        <w:autoSpaceDN w:val="0"/>
        <w:adjustRightInd w:val="0"/>
        <w:spacing w:after="0" w:line="240" w:lineRule="auto"/>
        <w:jc w:val="both"/>
        <w:rPr>
          <w:rFonts w:ascii="Times New Roman" w:eastAsia="Calibri" w:hAnsi="Times New Roman" w:cs="Times New Roman"/>
          <w:bCs/>
          <w:iCs/>
          <w:sz w:val="24"/>
          <w:szCs w:val="24"/>
        </w:rPr>
      </w:pPr>
      <w:r w:rsidRPr="004665E0">
        <w:rPr>
          <w:rFonts w:ascii="Times New Roman" w:eastAsia="Calibri" w:hAnsi="Times New Roman" w:cs="Times New Roman"/>
          <w:bCs/>
          <w:iCs/>
          <w:sz w:val="24"/>
          <w:szCs w:val="24"/>
        </w:rPr>
        <w:t>KLASA: 470-04/2</w:t>
      </w:r>
      <w:r w:rsidR="00F30F6B">
        <w:rPr>
          <w:rFonts w:ascii="Times New Roman" w:eastAsia="Calibri" w:hAnsi="Times New Roman" w:cs="Times New Roman"/>
          <w:bCs/>
          <w:iCs/>
          <w:sz w:val="24"/>
          <w:szCs w:val="24"/>
        </w:rPr>
        <w:t>3</w:t>
      </w:r>
      <w:r w:rsidRPr="004665E0">
        <w:rPr>
          <w:rFonts w:ascii="Times New Roman" w:eastAsia="Calibri" w:hAnsi="Times New Roman" w:cs="Times New Roman"/>
          <w:bCs/>
          <w:iCs/>
          <w:sz w:val="24"/>
          <w:szCs w:val="24"/>
        </w:rPr>
        <w:t>-04/1</w:t>
      </w:r>
    </w:p>
    <w:p w14:paraId="5CD939E3" w14:textId="554A4DB4" w:rsidR="004665E0" w:rsidRPr="004665E0" w:rsidRDefault="004665E0" w:rsidP="004665E0">
      <w:pPr>
        <w:widowControl w:val="0"/>
        <w:autoSpaceDE w:val="0"/>
        <w:autoSpaceDN w:val="0"/>
        <w:adjustRightInd w:val="0"/>
        <w:spacing w:after="0" w:line="240" w:lineRule="auto"/>
        <w:jc w:val="both"/>
        <w:rPr>
          <w:rFonts w:ascii="Times New Roman" w:eastAsia="Calibri" w:hAnsi="Times New Roman" w:cs="Times New Roman"/>
          <w:bCs/>
          <w:iCs/>
          <w:sz w:val="24"/>
          <w:szCs w:val="24"/>
          <w:u w:val="single"/>
        </w:rPr>
      </w:pPr>
      <w:r w:rsidRPr="004665E0">
        <w:rPr>
          <w:rFonts w:ascii="Times New Roman" w:eastAsia="Calibri" w:hAnsi="Times New Roman" w:cs="Times New Roman"/>
          <w:bCs/>
          <w:iCs/>
          <w:sz w:val="24"/>
          <w:szCs w:val="24"/>
        </w:rPr>
        <w:t>URBROJ: 513-12-04/010-2</w:t>
      </w:r>
      <w:r w:rsidR="00F30F6B">
        <w:rPr>
          <w:rFonts w:ascii="Times New Roman" w:eastAsia="Calibri" w:hAnsi="Times New Roman" w:cs="Times New Roman"/>
          <w:bCs/>
          <w:iCs/>
          <w:sz w:val="24"/>
          <w:szCs w:val="24"/>
        </w:rPr>
        <w:t>3</w:t>
      </w:r>
      <w:r w:rsidRPr="004665E0">
        <w:rPr>
          <w:rFonts w:ascii="Times New Roman" w:eastAsia="Calibri" w:hAnsi="Times New Roman" w:cs="Times New Roman"/>
          <w:bCs/>
          <w:iCs/>
          <w:sz w:val="24"/>
          <w:szCs w:val="24"/>
        </w:rPr>
        <w:t>-</w:t>
      </w:r>
      <w:r w:rsidR="00955187">
        <w:rPr>
          <w:rFonts w:ascii="Times New Roman" w:eastAsia="Calibri" w:hAnsi="Times New Roman" w:cs="Times New Roman"/>
          <w:bCs/>
          <w:iCs/>
          <w:sz w:val="24"/>
          <w:szCs w:val="24"/>
        </w:rPr>
        <w:t>1</w:t>
      </w:r>
    </w:p>
    <w:p w14:paraId="148E9422" w14:textId="77777777" w:rsidR="004665E0" w:rsidRPr="004665E0" w:rsidRDefault="004665E0" w:rsidP="004665E0">
      <w:pPr>
        <w:widowControl w:val="0"/>
        <w:autoSpaceDE w:val="0"/>
        <w:autoSpaceDN w:val="0"/>
        <w:adjustRightInd w:val="0"/>
        <w:spacing w:after="0" w:line="240" w:lineRule="auto"/>
        <w:jc w:val="both"/>
        <w:rPr>
          <w:rFonts w:ascii="Times New Roman" w:eastAsia="Calibri" w:hAnsi="Times New Roman" w:cs="Times New Roman"/>
          <w:bCs/>
          <w:iCs/>
          <w:sz w:val="24"/>
          <w:szCs w:val="24"/>
          <w:u w:val="single"/>
        </w:rPr>
      </w:pPr>
    </w:p>
    <w:p w14:paraId="3CD58796" w14:textId="77777777" w:rsidR="004665E0" w:rsidRPr="004665E0" w:rsidRDefault="004665E0" w:rsidP="004665E0">
      <w:pPr>
        <w:widowControl w:val="0"/>
        <w:autoSpaceDE w:val="0"/>
        <w:autoSpaceDN w:val="0"/>
        <w:adjustRightInd w:val="0"/>
        <w:spacing w:after="0" w:line="240" w:lineRule="auto"/>
        <w:jc w:val="both"/>
        <w:rPr>
          <w:rFonts w:ascii="Arial" w:eastAsia="Calibri" w:hAnsi="Arial" w:cs="Arial"/>
          <w:bCs/>
          <w:iCs/>
          <w:highlight w:val="lightGray"/>
          <w:u w:val="single"/>
        </w:rPr>
      </w:pPr>
    </w:p>
    <w:p w14:paraId="66BF57E9" w14:textId="77777777" w:rsidR="004665E0" w:rsidRPr="004665E0" w:rsidRDefault="004665E0" w:rsidP="004665E0">
      <w:pPr>
        <w:widowControl w:val="0"/>
        <w:autoSpaceDE w:val="0"/>
        <w:autoSpaceDN w:val="0"/>
        <w:adjustRightInd w:val="0"/>
        <w:spacing w:after="0" w:line="240" w:lineRule="auto"/>
        <w:jc w:val="both"/>
        <w:rPr>
          <w:rFonts w:ascii="Times New Roman" w:eastAsia="Calibri" w:hAnsi="Times New Roman" w:cs="Times New Roman"/>
          <w:bCs/>
          <w:iCs/>
          <w:sz w:val="24"/>
          <w:szCs w:val="24"/>
          <w:highlight w:val="lightGray"/>
          <w:u w:val="single"/>
        </w:rPr>
      </w:pPr>
    </w:p>
    <w:p w14:paraId="559C7E5A" w14:textId="77777777" w:rsidR="004665E0" w:rsidRPr="004665E0" w:rsidRDefault="004665E0" w:rsidP="004665E0">
      <w:pPr>
        <w:widowControl w:val="0"/>
        <w:autoSpaceDE w:val="0"/>
        <w:autoSpaceDN w:val="0"/>
        <w:adjustRightInd w:val="0"/>
        <w:spacing w:after="0" w:line="240" w:lineRule="auto"/>
        <w:jc w:val="both"/>
        <w:rPr>
          <w:rFonts w:ascii="Times New Roman" w:eastAsia="Calibri" w:hAnsi="Times New Roman" w:cs="Times New Roman"/>
          <w:bCs/>
          <w:iCs/>
          <w:sz w:val="24"/>
          <w:szCs w:val="24"/>
          <w:u w:val="single"/>
        </w:rPr>
      </w:pPr>
      <w:r w:rsidRPr="004665E0">
        <w:rPr>
          <w:rFonts w:ascii="Times New Roman" w:eastAsia="Calibri" w:hAnsi="Times New Roman" w:cs="Times New Roman"/>
          <w:bCs/>
          <w:iCs/>
          <w:sz w:val="24"/>
          <w:szCs w:val="24"/>
          <w:u w:val="single"/>
        </w:rPr>
        <w:t>Dostavljeno:</w:t>
      </w:r>
    </w:p>
    <w:p w14:paraId="6FA8346F" w14:textId="77777777" w:rsidR="004665E0" w:rsidRPr="004665E0" w:rsidRDefault="004665E0" w:rsidP="004665E0">
      <w:pPr>
        <w:widowControl w:val="0"/>
        <w:autoSpaceDE w:val="0"/>
        <w:autoSpaceDN w:val="0"/>
        <w:adjustRightInd w:val="0"/>
        <w:spacing w:after="0" w:line="240" w:lineRule="auto"/>
        <w:jc w:val="both"/>
        <w:rPr>
          <w:rFonts w:ascii="Times New Roman" w:eastAsia="Calibri" w:hAnsi="Times New Roman" w:cs="Times New Roman"/>
          <w:bCs/>
          <w:iCs/>
          <w:sz w:val="24"/>
          <w:szCs w:val="24"/>
          <w:u w:val="single"/>
        </w:rPr>
      </w:pPr>
    </w:p>
    <w:p w14:paraId="22F07C30" w14:textId="77777777" w:rsidR="004665E0" w:rsidRPr="004665E0" w:rsidRDefault="004665E0" w:rsidP="00BD4933">
      <w:pPr>
        <w:widowControl w:val="0"/>
        <w:numPr>
          <w:ilvl w:val="0"/>
          <w:numId w:val="10"/>
        </w:numPr>
        <w:autoSpaceDE w:val="0"/>
        <w:autoSpaceDN w:val="0"/>
        <w:adjustRightInd w:val="0"/>
        <w:spacing w:after="0" w:line="240" w:lineRule="auto"/>
        <w:jc w:val="both"/>
        <w:rPr>
          <w:rFonts w:ascii="Times New Roman" w:eastAsia="Calibri" w:hAnsi="Times New Roman" w:cs="Times New Roman"/>
          <w:bCs/>
          <w:iCs/>
          <w:sz w:val="24"/>
          <w:szCs w:val="24"/>
        </w:rPr>
      </w:pPr>
      <w:r w:rsidRPr="004665E0">
        <w:rPr>
          <w:rFonts w:ascii="Times New Roman" w:eastAsia="Calibri" w:hAnsi="Times New Roman" w:cs="Times New Roman"/>
          <w:bCs/>
          <w:iCs/>
          <w:sz w:val="24"/>
          <w:szCs w:val="24"/>
        </w:rPr>
        <w:t>Vladi RH (1)</w:t>
      </w:r>
    </w:p>
    <w:p w14:paraId="7ED90CA2" w14:textId="4D2CAA62" w:rsidR="004665E0" w:rsidRPr="004665E0" w:rsidRDefault="004665E0" w:rsidP="00BD4933">
      <w:pPr>
        <w:widowControl w:val="0"/>
        <w:numPr>
          <w:ilvl w:val="0"/>
          <w:numId w:val="10"/>
        </w:numPr>
        <w:autoSpaceDE w:val="0"/>
        <w:autoSpaceDN w:val="0"/>
        <w:adjustRightInd w:val="0"/>
        <w:spacing w:after="0" w:line="240" w:lineRule="auto"/>
        <w:jc w:val="both"/>
        <w:rPr>
          <w:rFonts w:ascii="Times New Roman" w:eastAsia="Calibri" w:hAnsi="Times New Roman" w:cs="Times New Roman"/>
          <w:bCs/>
          <w:iCs/>
          <w:sz w:val="24"/>
          <w:szCs w:val="24"/>
        </w:rPr>
      </w:pPr>
      <w:r w:rsidRPr="004665E0">
        <w:rPr>
          <w:rFonts w:ascii="Times New Roman" w:eastAsia="Calibri" w:hAnsi="Times New Roman" w:cs="Times New Roman"/>
          <w:bCs/>
          <w:iCs/>
          <w:sz w:val="24"/>
          <w:szCs w:val="24"/>
        </w:rPr>
        <w:t>ministru financija (1)</w:t>
      </w:r>
    </w:p>
    <w:p w14:paraId="67C6A2D4" w14:textId="77777777" w:rsidR="004665E0" w:rsidRPr="004665E0" w:rsidRDefault="004665E0" w:rsidP="00BD4933">
      <w:pPr>
        <w:widowControl w:val="0"/>
        <w:numPr>
          <w:ilvl w:val="0"/>
          <w:numId w:val="10"/>
        </w:numPr>
        <w:autoSpaceDE w:val="0"/>
        <w:autoSpaceDN w:val="0"/>
        <w:adjustRightInd w:val="0"/>
        <w:spacing w:after="0" w:line="240" w:lineRule="auto"/>
        <w:jc w:val="both"/>
        <w:rPr>
          <w:rFonts w:ascii="Times New Roman" w:eastAsia="Calibri" w:hAnsi="Times New Roman" w:cs="Times New Roman"/>
          <w:bCs/>
          <w:iCs/>
          <w:sz w:val="24"/>
          <w:szCs w:val="24"/>
        </w:rPr>
      </w:pPr>
      <w:r w:rsidRPr="004665E0">
        <w:rPr>
          <w:rFonts w:ascii="Times New Roman" w:eastAsia="Calibri" w:hAnsi="Times New Roman" w:cs="Times New Roman"/>
          <w:bCs/>
          <w:iCs/>
          <w:sz w:val="24"/>
          <w:szCs w:val="24"/>
        </w:rPr>
        <w:t>pismohrana (2)</w:t>
      </w:r>
    </w:p>
    <w:p w14:paraId="4A618225" w14:textId="77777777" w:rsidR="004665E0" w:rsidRPr="004665E0" w:rsidRDefault="004665E0" w:rsidP="004665E0">
      <w:pPr>
        <w:spacing w:after="0" w:line="240" w:lineRule="auto"/>
        <w:ind w:firstLine="708"/>
        <w:jc w:val="both"/>
        <w:rPr>
          <w:rFonts w:ascii="Times New Roman" w:eastAsia="Calibri" w:hAnsi="Times New Roman" w:cs="Times New Roman"/>
          <w:bCs/>
          <w:sz w:val="24"/>
          <w:szCs w:val="24"/>
        </w:rPr>
      </w:pPr>
    </w:p>
    <w:p w14:paraId="19CAAB32" w14:textId="77777777" w:rsidR="004665E0" w:rsidRPr="004665E0" w:rsidRDefault="004665E0" w:rsidP="004665E0">
      <w:pPr>
        <w:rPr>
          <w:lang w:eastAsia="hr-HR"/>
        </w:rPr>
      </w:pPr>
    </w:p>
    <w:p w14:paraId="0F166A45" w14:textId="77777777" w:rsidR="004665E0" w:rsidRPr="004665E0" w:rsidRDefault="004665E0" w:rsidP="004665E0"/>
    <w:p w14:paraId="69F78905" w14:textId="77777777" w:rsidR="00D40F37" w:rsidRDefault="00D40F37"/>
    <w:sectPr w:rsidR="00D40F37" w:rsidSect="00375117">
      <w:footerReference w:type="default" r:id="rId2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C9033" w14:textId="77777777" w:rsidR="00FE741D" w:rsidRDefault="00FE741D" w:rsidP="004665E0">
      <w:pPr>
        <w:spacing w:after="0" w:line="240" w:lineRule="auto"/>
      </w:pPr>
      <w:r>
        <w:separator/>
      </w:r>
    </w:p>
  </w:endnote>
  <w:endnote w:type="continuationSeparator" w:id="0">
    <w:p w14:paraId="6A573B3B" w14:textId="77777777" w:rsidR="00FE741D" w:rsidRDefault="00FE741D" w:rsidP="0046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ife L2">
    <w:altName w:val="Times New Roman"/>
    <w:charset w:val="EE"/>
    <w:family w:val="roman"/>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mn-e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638684"/>
      <w:docPartObj>
        <w:docPartGallery w:val="Page Numbers (Bottom of Page)"/>
        <w:docPartUnique/>
      </w:docPartObj>
    </w:sdtPr>
    <w:sdtEndPr/>
    <w:sdtContent>
      <w:p w14:paraId="701ABDD9" w14:textId="53479CBA" w:rsidR="002118EE" w:rsidRDefault="002118EE">
        <w:pPr>
          <w:pStyle w:val="Podnoje"/>
          <w:jc w:val="right"/>
        </w:pPr>
        <w:r>
          <w:fldChar w:fldCharType="begin"/>
        </w:r>
        <w:r>
          <w:instrText>PAGE   \* MERGEFORMAT</w:instrText>
        </w:r>
        <w:r>
          <w:fldChar w:fldCharType="separate"/>
        </w:r>
        <w:r w:rsidR="00A557DB">
          <w:rPr>
            <w:noProof/>
          </w:rPr>
          <w:t>20</w:t>
        </w:r>
        <w:r>
          <w:fldChar w:fldCharType="end"/>
        </w:r>
      </w:p>
    </w:sdtContent>
  </w:sdt>
  <w:p w14:paraId="4CF223D8" w14:textId="77777777" w:rsidR="002118EE" w:rsidRDefault="002118E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5DD82" w14:textId="77777777" w:rsidR="00FE741D" w:rsidRDefault="00FE741D" w:rsidP="004665E0">
      <w:pPr>
        <w:spacing w:after="0" w:line="240" w:lineRule="auto"/>
      </w:pPr>
      <w:r>
        <w:separator/>
      </w:r>
    </w:p>
  </w:footnote>
  <w:footnote w:type="continuationSeparator" w:id="0">
    <w:p w14:paraId="0DB5CA0F" w14:textId="77777777" w:rsidR="00FE741D" w:rsidRDefault="00FE741D" w:rsidP="004665E0">
      <w:pPr>
        <w:spacing w:after="0" w:line="240" w:lineRule="auto"/>
      </w:pPr>
      <w:r>
        <w:continuationSeparator/>
      </w:r>
    </w:p>
  </w:footnote>
  <w:footnote w:id="1">
    <w:p w14:paraId="2FF24A2D" w14:textId="77777777" w:rsidR="002118EE" w:rsidRDefault="002118EE" w:rsidP="00F71E3B">
      <w:pPr>
        <w:pStyle w:val="Tekstfusnote"/>
      </w:pPr>
      <w:r>
        <w:rPr>
          <w:rStyle w:val="Referencafusnote"/>
        </w:rPr>
        <w:footnoteRef/>
      </w:r>
      <w:r>
        <w:t xml:space="preserve"> P</w:t>
      </w:r>
      <w:r w:rsidRPr="000A50AF">
        <w:t>redikatno kazneno djelo jest svako djelo određeno kaznenim ili drugim zakonom kao kazneno djelo te kojim je ostvaren nezakonit prihod koji je predmet kaznenog djela pranja novca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C00B8"/>
    <w:multiLevelType w:val="hybridMultilevel"/>
    <w:tmpl w:val="5D003E2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9616487"/>
    <w:multiLevelType w:val="hybridMultilevel"/>
    <w:tmpl w:val="D38AFAEA"/>
    <w:lvl w:ilvl="0" w:tplc="7FEE6532">
      <w:numFmt w:val="bullet"/>
      <w:lvlText w:val="-"/>
      <w:lvlJc w:val="left"/>
      <w:pPr>
        <w:tabs>
          <w:tab w:val="num" w:pos="720"/>
        </w:tabs>
        <w:ind w:left="720" w:hanging="360"/>
      </w:pPr>
      <w:rPr>
        <w:rFonts w:ascii="Calibri" w:eastAsia="Calibri" w:hAnsi="Calibri"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B43A89"/>
    <w:multiLevelType w:val="hybridMultilevel"/>
    <w:tmpl w:val="A7ECAA58"/>
    <w:lvl w:ilvl="0" w:tplc="49047A4C">
      <w:start w:val="2"/>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5847D61"/>
    <w:multiLevelType w:val="hybridMultilevel"/>
    <w:tmpl w:val="9436857E"/>
    <w:lvl w:ilvl="0" w:tplc="34BEA48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96C468E"/>
    <w:multiLevelType w:val="hybridMultilevel"/>
    <w:tmpl w:val="127EEFBE"/>
    <w:lvl w:ilvl="0" w:tplc="D0D28A4C">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429530F"/>
    <w:multiLevelType w:val="hybridMultilevel"/>
    <w:tmpl w:val="3540481C"/>
    <w:lvl w:ilvl="0" w:tplc="AAE48E74">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70A3477"/>
    <w:multiLevelType w:val="hybridMultilevel"/>
    <w:tmpl w:val="CFCEB254"/>
    <w:lvl w:ilvl="0" w:tplc="34BEA48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7546217"/>
    <w:multiLevelType w:val="hybridMultilevel"/>
    <w:tmpl w:val="D242D2C6"/>
    <w:lvl w:ilvl="0" w:tplc="136EB5E8">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14F3532"/>
    <w:multiLevelType w:val="multilevel"/>
    <w:tmpl w:val="F8DA4806"/>
    <w:lvl w:ilvl="0">
      <w:start w:val="1"/>
      <w:numFmt w:val="decimal"/>
      <w:pStyle w:val="Naslov2"/>
      <w:lvlText w:val="%1."/>
      <w:lvlJc w:val="left"/>
      <w:pPr>
        <w:ind w:left="360" w:hanging="360"/>
      </w:pPr>
    </w:lvl>
    <w:lvl w:ilvl="1">
      <w:start w:val="2"/>
      <w:numFmt w:val="decimal"/>
      <w:isLgl/>
      <w:lvlText w:val="%1.%2."/>
      <w:lvlJc w:val="left"/>
      <w:pPr>
        <w:ind w:left="7874" w:hanging="360"/>
      </w:pPr>
      <w:rPr>
        <w:rFonts w:hint="default"/>
        <w:b/>
        <w:u w:val="none"/>
      </w:rPr>
    </w:lvl>
    <w:lvl w:ilvl="2">
      <w:start w:val="1"/>
      <w:numFmt w:val="decimal"/>
      <w:isLgl/>
      <w:lvlText w:val="%1.%2.%3."/>
      <w:lvlJc w:val="left"/>
      <w:pPr>
        <w:ind w:left="171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636542B"/>
    <w:multiLevelType w:val="hybridMultilevel"/>
    <w:tmpl w:val="56266B28"/>
    <w:lvl w:ilvl="0" w:tplc="34BEA48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9F32403"/>
    <w:multiLevelType w:val="hybridMultilevel"/>
    <w:tmpl w:val="2B3860F8"/>
    <w:lvl w:ilvl="0" w:tplc="4B0A548A">
      <w:numFmt w:val="bullet"/>
      <w:lvlText w:val="-"/>
      <w:lvlJc w:val="left"/>
      <w:pPr>
        <w:tabs>
          <w:tab w:val="num" w:pos="360"/>
        </w:tabs>
        <w:ind w:left="360" w:hanging="360"/>
      </w:pPr>
      <w:rPr>
        <w:rFonts w:ascii="Bookman Old Style" w:eastAsia="Times New Roman" w:hAnsi="Bookman Old Style"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2BE1684"/>
    <w:multiLevelType w:val="hybridMultilevel"/>
    <w:tmpl w:val="04CC5F0A"/>
    <w:lvl w:ilvl="0" w:tplc="D0D28A4C">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9CB062F"/>
    <w:multiLevelType w:val="hybridMultilevel"/>
    <w:tmpl w:val="B0A64B5A"/>
    <w:lvl w:ilvl="0" w:tplc="491AD8DA">
      <w:start w:val="1"/>
      <w:numFmt w:val="bullet"/>
      <w:lvlText w:val="-"/>
      <w:lvlJc w:val="left"/>
      <w:pPr>
        <w:ind w:left="1080" w:hanging="360"/>
      </w:pPr>
      <w:rPr>
        <w:rFonts w:ascii="Times New Roman" w:eastAsia="Times New Roman" w:hAnsi="Times New Roman" w:hint="default"/>
        <w:b/>
        <w:bCs/>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cs="Wingdings" w:hint="default"/>
      </w:rPr>
    </w:lvl>
    <w:lvl w:ilvl="3" w:tplc="041A0001">
      <w:start w:val="1"/>
      <w:numFmt w:val="bullet"/>
      <w:lvlText w:val=""/>
      <w:lvlJc w:val="left"/>
      <w:pPr>
        <w:ind w:left="3240" w:hanging="360"/>
      </w:pPr>
      <w:rPr>
        <w:rFonts w:ascii="Symbol" w:hAnsi="Symbol" w:cs="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cs="Wingdings" w:hint="default"/>
      </w:rPr>
    </w:lvl>
    <w:lvl w:ilvl="6" w:tplc="041A0001">
      <w:start w:val="1"/>
      <w:numFmt w:val="bullet"/>
      <w:lvlText w:val=""/>
      <w:lvlJc w:val="left"/>
      <w:pPr>
        <w:ind w:left="5400" w:hanging="360"/>
      </w:pPr>
      <w:rPr>
        <w:rFonts w:ascii="Symbol" w:hAnsi="Symbol" w:cs="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cs="Wingdings" w:hint="default"/>
      </w:rPr>
    </w:lvl>
  </w:abstractNum>
  <w:abstractNum w:abstractNumId="13" w15:restartNumberingAfterBreak="0">
    <w:nsid w:val="5D4447D0"/>
    <w:multiLevelType w:val="hybridMultilevel"/>
    <w:tmpl w:val="5B66BD4A"/>
    <w:lvl w:ilvl="0" w:tplc="491AD8DA">
      <w:start w:val="1"/>
      <w:numFmt w:val="bullet"/>
      <w:lvlText w:val="-"/>
      <w:lvlJc w:val="left"/>
      <w:pPr>
        <w:ind w:left="360" w:hanging="360"/>
      </w:pPr>
      <w:rPr>
        <w:rFonts w:ascii="Times New Roman" w:eastAsia="Times New Roman" w:hAnsi="Times New Roman" w:hint="default"/>
        <w:b/>
        <w:bCs/>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5F626D09"/>
    <w:multiLevelType w:val="hybridMultilevel"/>
    <w:tmpl w:val="735AA782"/>
    <w:lvl w:ilvl="0" w:tplc="57C457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71C7593"/>
    <w:multiLevelType w:val="hybridMultilevel"/>
    <w:tmpl w:val="9A8A3FA4"/>
    <w:lvl w:ilvl="0" w:tplc="0409000F">
      <w:start w:val="1"/>
      <w:numFmt w:val="decimal"/>
      <w:lvlText w:val="%1."/>
      <w:lvlJc w:val="left"/>
      <w:pPr>
        <w:tabs>
          <w:tab w:val="num" w:pos="720"/>
        </w:tabs>
        <w:ind w:left="72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BE5FC8"/>
    <w:multiLevelType w:val="multilevel"/>
    <w:tmpl w:val="8C0ABF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rPr>
        <w:rFonts w:ascii="Times New Roman" w:hAnsi="Times New Roman" w:cs="Times New Roman" w:hint="default"/>
        <w:b/>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227899"/>
    <w:multiLevelType w:val="hybridMultilevel"/>
    <w:tmpl w:val="C4CC3ED8"/>
    <w:lvl w:ilvl="0" w:tplc="491AD8DA">
      <w:start w:val="1"/>
      <w:numFmt w:val="bullet"/>
      <w:lvlText w:val="-"/>
      <w:lvlJc w:val="left"/>
      <w:pPr>
        <w:tabs>
          <w:tab w:val="num" w:pos="720"/>
        </w:tabs>
        <w:ind w:left="720" w:hanging="360"/>
      </w:pPr>
      <w:rPr>
        <w:rFonts w:ascii="Times New Roman" w:eastAsia="Times New Roman" w:hAnsi="Times New Roman" w:hint="default"/>
        <w:b/>
        <w:bCs/>
      </w:rPr>
    </w:lvl>
    <w:lvl w:ilvl="1" w:tplc="3740EAE2" w:tentative="1">
      <w:start w:val="1"/>
      <w:numFmt w:val="bullet"/>
      <w:lvlText w:val=""/>
      <w:lvlJc w:val="left"/>
      <w:pPr>
        <w:tabs>
          <w:tab w:val="num" w:pos="1440"/>
        </w:tabs>
        <w:ind w:left="1440" w:hanging="360"/>
      </w:pPr>
      <w:rPr>
        <w:rFonts w:ascii="Wingdings" w:hAnsi="Wingdings" w:hint="default"/>
      </w:rPr>
    </w:lvl>
    <w:lvl w:ilvl="2" w:tplc="8ED63422" w:tentative="1">
      <w:start w:val="1"/>
      <w:numFmt w:val="bullet"/>
      <w:lvlText w:val=""/>
      <w:lvlJc w:val="left"/>
      <w:pPr>
        <w:tabs>
          <w:tab w:val="num" w:pos="2160"/>
        </w:tabs>
        <w:ind w:left="2160" w:hanging="360"/>
      </w:pPr>
      <w:rPr>
        <w:rFonts w:ascii="Wingdings" w:hAnsi="Wingdings" w:hint="default"/>
      </w:rPr>
    </w:lvl>
    <w:lvl w:ilvl="3" w:tplc="71FEB844" w:tentative="1">
      <w:start w:val="1"/>
      <w:numFmt w:val="bullet"/>
      <w:lvlText w:val=""/>
      <w:lvlJc w:val="left"/>
      <w:pPr>
        <w:tabs>
          <w:tab w:val="num" w:pos="2880"/>
        </w:tabs>
        <w:ind w:left="2880" w:hanging="360"/>
      </w:pPr>
      <w:rPr>
        <w:rFonts w:ascii="Wingdings" w:hAnsi="Wingdings" w:hint="default"/>
      </w:rPr>
    </w:lvl>
    <w:lvl w:ilvl="4" w:tplc="9ABA7DEC" w:tentative="1">
      <w:start w:val="1"/>
      <w:numFmt w:val="bullet"/>
      <w:lvlText w:val=""/>
      <w:lvlJc w:val="left"/>
      <w:pPr>
        <w:tabs>
          <w:tab w:val="num" w:pos="3600"/>
        </w:tabs>
        <w:ind w:left="3600" w:hanging="360"/>
      </w:pPr>
      <w:rPr>
        <w:rFonts w:ascii="Wingdings" w:hAnsi="Wingdings" w:hint="default"/>
      </w:rPr>
    </w:lvl>
    <w:lvl w:ilvl="5" w:tplc="4AD8988C" w:tentative="1">
      <w:start w:val="1"/>
      <w:numFmt w:val="bullet"/>
      <w:lvlText w:val=""/>
      <w:lvlJc w:val="left"/>
      <w:pPr>
        <w:tabs>
          <w:tab w:val="num" w:pos="4320"/>
        </w:tabs>
        <w:ind w:left="4320" w:hanging="360"/>
      </w:pPr>
      <w:rPr>
        <w:rFonts w:ascii="Wingdings" w:hAnsi="Wingdings" w:hint="default"/>
      </w:rPr>
    </w:lvl>
    <w:lvl w:ilvl="6" w:tplc="9B9C3BAE" w:tentative="1">
      <w:start w:val="1"/>
      <w:numFmt w:val="bullet"/>
      <w:lvlText w:val=""/>
      <w:lvlJc w:val="left"/>
      <w:pPr>
        <w:tabs>
          <w:tab w:val="num" w:pos="5040"/>
        </w:tabs>
        <w:ind w:left="5040" w:hanging="360"/>
      </w:pPr>
      <w:rPr>
        <w:rFonts w:ascii="Wingdings" w:hAnsi="Wingdings" w:hint="default"/>
      </w:rPr>
    </w:lvl>
    <w:lvl w:ilvl="7" w:tplc="EC4CADD8" w:tentative="1">
      <w:start w:val="1"/>
      <w:numFmt w:val="bullet"/>
      <w:lvlText w:val=""/>
      <w:lvlJc w:val="left"/>
      <w:pPr>
        <w:tabs>
          <w:tab w:val="num" w:pos="5760"/>
        </w:tabs>
        <w:ind w:left="5760" w:hanging="360"/>
      </w:pPr>
      <w:rPr>
        <w:rFonts w:ascii="Wingdings" w:hAnsi="Wingdings" w:hint="default"/>
      </w:rPr>
    </w:lvl>
    <w:lvl w:ilvl="8" w:tplc="CC1CD38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A12D09"/>
    <w:multiLevelType w:val="multilevel"/>
    <w:tmpl w:val="041A001D"/>
    <w:styleLink w:val="Sti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0D57181"/>
    <w:multiLevelType w:val="hybridMultilevel"/>
    <w:tmpl w:val="446A161C"/>
    <w:lvl w:ilvl="0" w:tplc="491AD8DA">
      <w:start w:val="1"/>
      <w:numFmt w:val="bullet"/>
      <w:lvlText w:val="-"/>
      <w:lvlJc w:val="left"/>
      <w:pPr>
        <w:ind w:left="360" w:hanging="360"/>
      </w:pPr>
      <w:rPr>
        <w:rFonts w:ascii="Times New Roman" w:eastAsia="Times New Roman" w:hAnsi="Times New Roman" w:hint="default"/>
        <w:b/>
        <w:bCs/>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711E616C"/>
    <w:multiLevelType w:val="hybridMultilevel"/>
    <w:tmpl w:val="8D940310"/>
    <w:lvl w:ilvl="0" w:tplc="491AD8DA">
      <w:start w:val="1"/>
      <w:numFmt w:val="bullet"/>
      <w:lvlText w:val="-"/>
      <w:lvlJc w:val="left"/>
      <w:pPr>
        <w:tabs>
          <w:tab w:val="num" w:pos="720"/>
        </w:tabs>
        <w:ind w:left="720" w:hanging="360"/>
      </w:pPr>
      <w:rPr>
        <w:rFonts w:ascii="Times New Roman" w:eastAsia="Times New Roman" w:hAnsi="Times New Roman" w:hint="default"/>
        <w:b/>
        <w:bCs/>
      </w:rPr>
    </w:lvl>
    <w:lvl w:ilvl="1" w:tplc="A524FF10" w:tentative="1">
      <w:start w:val="1"/>
      <w:numFmt w:val="bullet"/>
      <w:lvlText w:val=""/>
      <w:lvlJc w:val="left"/>
      <w:pPr>
        <w:tabs>
          <w:tab w:val="num" w:pos="1440"/>
        </w:tabs>
        <w:ind w:left="1440" w:hanging="360"/>
      </w:pPr>
      <w:rPr>
        <w:rFonts w:ascii="Wingdings" w:hAnsi="Wingdings" w:hint="default"/>
      </w:rPr>
    </w:lvl>
    <w:lvl w:ilvl="2" w:tplc="BD76F7D4" w:tentative="1">
      <w:start w:val="1"/>
      <w:numFmt w:val="bullet"/>
      <w:lvlText w:val=""/>
      <w:lvlJc w:val="left"/>
      <w:pPr>
        <w:tabs>
          <w:tab w:val="num" w:pos="2160"/>
        </w:tabs>
        <w:ind w:left="2160" w:hanging="360"/>
      </w:pPr>
      <w:rPr>
        <w:rFonts w:ascii="Wingdings" w:hAnsi="Wingdings" w:hint="default"/>
      </w:rPr>
    </w:lvl>
    <w:lvl w:ilvl="3" w:tplc="076880E4" w:tentative="1">
      <w:start w:val="1"/>
      <w:numFmt w:val="bullet"/>
      <w:lvlText w:val=""/>
      <w:lvlJc w:val="left"/>
      <w:pPr>
        <w:tabs>
          <w:tab w:val="num" w:pos="2880"/>
        </w:tabs>
        <w:ind w:left="2880" w:hanging="360"/>
      </w:pPr>
      <w:rPr>
        <w:rFonts w:ascii="Wingdings" w:hAnsi="Wingdings" w:hint="default"/>
      </w:rPr>
    </w:lvl>
    <w:lvl w:ilvl="4" w:tplc="45961B7A" w:tentative="1">
      <w:start w:val="1"/>
      <w:numFmt w:val="bullet"/>
      <w:lvlText w:val=""/>
      <w:lvlJc w:val="left"/>
      <w:pPr>
        <w:tabs>
          <w:tab w:val="num" w:pos="3600"/>
        </w:tabs>
        <w:ind w:left="3600" w:hanging="360"/>
      </w:pPr>
      <w:rPr>
        <w:rFonts w:ascii="Wingdings" w:hAnsi="Wingdings" w:hint="default"/>
      </w:rPr>
    </w:lvl>
    <w:lvl w:ilvl="5" w:tplc="9988A54C" w:tentative="1">
      <w:start w:val="1"/>
      <w:numFmt w:val="bullet"/>
      <w:lvlText w:val=""/>
      <w:lvlJc w:val="left"/>
      <w:pPr>
        <w:tabs>
          <w:tab w:val="num" w:pos="4320"/>
        </w:tabs>
        <w:ind w:left="4320" w:hanging="360"/>
      </w:pPr>
      <w:rPr>
        <w:rFonts w:ascii="Wingdings" w:hAnsi="Wingdings" w:hint="default"/>
      </w:rPr>
    </w:lvl>
    <w:lvl w:ilvl="6" w:tplc="E0F477FE" w:tentative="1">
      <w:start w:val="1"/>
      <w:numFmt w:val="bullet"/>
      <w:lvlText w:val=""/>
      <w:lvlJc w:val="left"/>
      <w:pPr>
        <w:tabs>
          <w:tab w:val="num" w:pos="5040"/>
        </w:tabs>
        <w:ind w:left="5040" w:hanging="360"/>
      </w:pPr>
      <w:rPr>
        <w:rFonts w:ascii="Wingdings" w:hAnsi="Wingdings" w:hint="default"/>
      </w:rPr>
    </w:lvl>
    <w:lvl w:ilvl="7" w:tplc="D96C8970" w:tentative="1">
      <w:start w:val="1"/>
      <w:numFmt w:val="bullet"/>
      <w:lvlText w:val=""/>
      <w:lvlJc w:val="left"/>
      <w:pPr>
        <w:tabs>
          <w:tab w:val="num" w:pos="5760"/>
        </w:tabs>
        <w:ind w:left="5760" w:hanging="360"/>
      </w:pPr>
      <w:rPr>
        <w:rFonts w:ascii="Wingdings" w:hAnsi="Wingdings" w:hint="default"/>
      </w:rPr>
    </w:lvl>
    <w:lvl w:ilvl="8" w:tplc="196A6F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4E1D71"/>
    <w:multiLevelType w:val="hybridMultilevel"/>
    <w:tmpl w:val="808E58A0"/>
    <w:lvl w:ilvl="0" w:tplc="041A0005">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17201D0"/>
    <w:multiLevelType w:val="multilevel"/>
    <w:tmpl w:val="22EC3072"/>
    <w:styleLink w:val="Stil1"/>
    <w:lvl w:ilvl="0">
      <w:start w:val="1"/>
      <w:numFmt w:val="decimal"/>
      <w:lvlText w:val="%1."/>
      <w:lvlJc w:val="left"/>
      <w:pPr>
        <w:ind w:left="1211" w:hanging="360"/>
      </w:pPr>
      <w:rPr>
        <w:rFonts w:ascii="Times New Roman" w:hAnsi="Times New Roman" w:hint="default"/>
        <w:color w:val="323E4F"/>
      </w:rPr>
    </w:lvl>
    <w:lvl w:ilvl="1">
      <w:start w:val="1"/>
      <w:numFmt w:val="none"/>
      <w:isLgl/>
      <w:lvlText w:val="6.1."/>
      <w:lvlJc w:val="left"/>
      <w:pPr>
        <w:ind w:left="927" w:hanging="360"/>
      </w:pPr>
      <w:rPr>
        <w:rFonts w:ascii="Times New Roman" w:hAnsi="Times New Roman" w:cs="Times New Roman" w:hint="default"/>
        <w:b/>
        <w:color w:val="323E4F"/>
        <w:sz w:val="24"/>
        <w:szCs w:val="24"/>
      </w:rPr>
    </w:lvl>
    <w:lvl w:ilvl="2">
      <w:start w:val="1"/>
      <w:numFmt w:val="decimal"/>
      <w:isLgl/>
      <w:lvlText w:val="5.2%2.%3."/>
      <w:lvlJc w:val="left"/>
      <w:pPr>
        <w:ind w:left="1571" w:hanging="720"/>
      </w:pPr>
      <w:rPr>
        <w:rFonts w:ascii="Times New Roman" w:hAnsi="Times New Roman" w:hint="default"/>
        <w:b/>
        <w:color w:val="323E4F"/>
        <w:sz w:val="24"/>
      </w:rPr>
    </w:lvl>
    <w:lvl w:ilvl="3">
      <w:start w:val="1"/>
      <w:numFmt w:val="decimal"/>
      <w:isLgl/>
      <w:lvlText w:val="5.%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77803DE0"/>
    <w:multiLevelType w:val="hybridMultilevel"/>
    <w:tmpl w:val="EF2028CE"/>
    <w:lvl w:ilvl="0" w:tplc="4B0A548A">
      <w:numFmt w:val="bullet"/>
      <w:lvlText w:val="-"/>
      <w:lvlJc w:val="left"/>
      <w:pPr>
        <w:ind w:left="720" w:hanging="360"/>
      </w:pPr>
      <w:rPr>
        <w:rFonts w:ascii="Bookman Old Style" w:eastAsia="Times New Roman" w:hAnsi="Bookman Old Styl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9A56EBD"/>
    <w:multiLevelType w:val="hybridMultilevel"/>
    <w:tmpl w:val="310E7638"/>
    <w:lvl w:ilvl="0" w:tplc="34BEA48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C6D40DA"/>
    <w:multiLevelType w:val="hybridMultilevel"/>
    <w:tmpl w:val="34423BB2"/>
    <w:lvl w:ilvl="0" w:tplc="136EB5E8">
      <w:start w:val="1"/>
      <w:numFmt w:val="bullet"/>
      <w:lvlText w:val="-"/>
      <w:lvlJc w:val="left"/>
      <w:pPr>
        <w:ind w:left="720" w:hanging="360"/>
      </w:pPr>
      <w:rPr>
        <w:rFonts w:ascii="Courier New" w:hAnsi="Courier New" w:hint="default"/>
      </w:rPr>
    </w:lvl>
    <w:lvl w:ilvl="1" w:tplc="6EE0297C">
      <w:numFmt w:val="bullet"/>
      <w:lvlText w:val=""/>
      <w:lvlJc w:val="left"/>
      <w:pPr>
        <w:ind w:left="1440" w:hanging="360"/>
      </w:pPr>
      <w:rPr>
        <w:rFonts w:ascii="Symbol" w:eastAsia="Times New Roman" w:hAnsi="Symbol"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DB557DB"/>
    <w:multiLevelType w:val="hybridMultilevel"/>
    <w:tmpl w:val="8E5C07E2"/>
    <w:lvl w:ilvl="0" w:tplc="136EB5E8">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3"/>
  </w:num>
  <w:num w:numId="4">
    <w:abstractNumId w:val="22"/>
  </w:num>
  <w:num w:numId="5">
    <w:abstractNumId w:val="23"/>
  </w:num>
  <w:num w:numId="6">
    <w:abstractNumId w:val="18"/>
  </w:num>
  <w:num w:numId="7">
    <w:abstractNumId w:val="0"/>
  </w:num>
  <w:num w:numId="8">
    <w:abstractNumId w:val="12"/>
  </w:num>
  <w:num w:numId="9">
    <w:abstractNumId w:val="15"/>
  </w:num>
  <w:num w:numId="10">
    <w:abstractNumId w:val="10"/>
  </w:num>
  <w:num w:numId="11">
    <w:abstractNumId w:val="1"/>
  </w:num>
  <w:num w:numId="12">
    <w:abstractNumId w:val="16"/>
  </w:num>
  <w:num w:numId="13">
    <w:abstractNumId w:val="8"/>
  </w:num>
  <w:num w:numId="14">
    <w:abstractNumId w:val="3"/>
  </w:num>
  <w:num w:numId="15">
    <w:abstractNumId w:val="9"/>
  </w:num>
  <w:num w:numId="16">
    <w:abstractNumId w:val="24"/>
  </w:num>
  <w:num w:numId="17">
    <w:abstractNumId w:val="6"/>
  </w:num>
  <w:num w:numId="18">
    <w:abstractNumId w:val="11"/>
  </w:num>
  <w:num w:numId="19">
    <w:abstractNumId w:val="20"/>
  </w:num>
  <w:num w:numId="20">
    <w:abstractNumId w:val="17"/>
  </w:num>
  <w:num w:numId="21">
    <w:abstractNumId w:val="25"/>
  </w:num>
  <w:num w:numId="22">
    <w:abstractNumId w:val="26"/>
  </w:num>
  <w:num w:numId="23">
    <w:abstractNumId w:val="7"/>
  </w:num>
  <w:num w:numId="24">
    <w:abstractNumId w:val="5"/>
  </w:num>
  <w:num w:numId="25">
    <w:abstractNumId w:val="2"/>
  </w:num>
  <w:num w:numId="26">
    <w:abstractNumId w:val="21"/>
  </w:num>
  <w:num w:numId="27">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5E0"/>
    <w:rsid w:val="00001405"/>
    <w:rsid w:val="00001A04"/>
    <w:rsid w:val="000041DC"/>
    <w:rsid w:val="00006953"/>
    <w:rsid w:val="0001199D"/>
    <w:rsid w:val="00015234"/>
    <w:rsid w:val="00016D4C"/>
    <w:rsid w:val="00026787"/>
    <w:rsid w:val="00035227"/>
    <w:rsid w:val="00040BF9"/>
    <w:rsid w:val="000436AA"/>
    <w:rsid w:val="00050D95"/>
    <w:rsid w:val="00052721"/>
    <w:rsid w:val="00057FFD"/>
    <w:rsid w:val="000677B7"/>
    <w:rsid w:val="00070753"/>
    <w:rsid w:val="00072309"/>
    <w:rsid w:val="000871F6"/>
    <w:rsid w:val="00097702"/>
    <w:rsid w:val="000A124D"/>
    <w:rsid w:val="000B40AD"/>
    <w:rsid w:val="000B60B3"/>
    <w:rsid w:val="000B795F"/>
    <w:rsid w:val="000C35D0"/>
    <w:rsid w:val="000C417F"/>
    <w:rsid w:val="000C4A67"/>
    <w:rsid w:val="000D07CC"/>
    <w:rsid w:val="000E3451"/>
    <w:rsid w:val="000E4157"/>
    <w:rsid w:val="0010224B"/>
    <w:rsid w:val="00110C32"/>
    <w:rsid w:val="00113707"/>
    <w:rsid w:val="00115915"/>
    <w:rsid w:val="0012140D"/>
    <w:rsid w:val="00127523"/>
    <w:rsid w:val="0013510B"/>
    <w:rsid w:val="00136229"/>
    <w:rsid w:val="00137C61"/>
    <w:rsid w:val="00140095"/>
    <w:rsid w:val="001402BC"/>
    <w:rsid w:val="001433E6"/>
    <w:rsid w:val="001465AA"/>
    <w:rsid w:val="00151464"/>
    <w:rsid w:val="00152EC9"/>
    <w:rsid w:val="0015461C"/>
    <w:rsid w:val="00161837"/>
    <w:rsid w:val="00176484"/>
    <w:rsid w:val="0018458C"/>
    <w:rsid w:val="00184F42"/>
    <w:rsid w:val="001863E8"/>
    <w:rsid w:val="00187F66"/>
    <w:rsid w:val="0019046F"/>
    <w:rsid w:val="00191DB3"/>
    <w:rsid w:val="00193935"/>
    <w:rsid w:val="001A1121"/>
    <w:rsid w:val="001A3B97"/>
    <w:rsid w:val="001A791B"/>
    <w:rsid w:val="001B16C4"/>
    <w:rsid w:val="001B49AF"/>
    <w:rsid w:val="001C1BC7"/>
    <w:rsid w:val="001C2B2C"/>
    <w:rsid w:val="001D03DF"/>
    <w:rsid w:val="001D22E5"/>
    <w:rsid w:val="001E46A2"/>
    <w:rsid w:val="001F0E12"/>
    <w:rsid w:val="001F6DF8"/>
    <w:rsid w:val="00210E51"/>
    <w:rsid w:val="002118EE"/>
    <w:rsid w:val="00211BA6"/>
    <w:rsid w:val="00217103"/>
    <w:rsid w:val="00272D57"/>
    <w:rsid w:val="00274047"/>
    <w:rsid w:val="00274B0D"/>
    <w:rsid w:val="002763C5"/>
    <w:rsid w:val="002808A7"/>
    <w:rsid w:val="00280E1A"/>
    <w:rsid w:val="0028132C"/>
    <w:rsid w:val="002819D1"/>
    <w:rsid w:val="00294E20"/>
    <w:rsid w:val="002A6D88"/>
    <w:rsid w:val="002B299F"/>
    <w:rsid w:val="002B66D2"/>
    <w:rsid w:val="002B6BD8"/>
    <w:rsid w:val="002B70B4"/>
    <w:rsid w:val="002C2113"/>
    <w:rsid w:val="002C37C3"/>
    <w:rsid w:val="002C4AF9"/>
    <w:rsid w:val="002D13BC"/>
    <w:rsid w:val="002F3B9E"/>
    <w:rsid w:val="00307D47"/>
    <w:rsid w:val="00316361"/>
    <w:rsid w:val="003220B0"/>
    <w:rsid w:val="00323199"/>
    <w:rsid w:val="00325094"/>
    <w:rsid w:val="00335816"/>
    <w:rsid w:val="00363226"/>
    <w:rsid w:val="003656CA"/>
    <w:rsid w:val="00370CD9"/>
    <w:rsid w:val="00373A80"/>
    <w:rsid w:val="00374E80"/>
    <w:rsid w:val="00375117"/>
    <w:rsid w:val="00385232"/>
    <w:rsid w:val="00396FC7"/>
    <w:rsid w:val="003A2C77"/>
    <w:rsid w:val="003A2FC2"/>
    <w:rsid w:val="003B2A4B"/>
    <w:rsid w:val="003B6ECC"/>
    <w:rsid w:val="003C1E1A"/>
    <w:rsid w:val="003C57AF"/>
    <w:rsid w:val="003C649F"/>
    <w:rsid w:val="003C774F"/>
    <w:rsid w:val="003D1CE0"/>
    <w:rsid w:val="003D4A11"/>
    <w:rsid w:val="003D67D0"/>
    <w:rsid w:val="003D798B"/>
    <w:rsid w:val="003D7F11"/>
    <w:rsid w:val="003E0886"/>
    <w:rsid w:val="003E4AB8"/>
    <w:rsid w:val="003F0F99"/>
    <w:rsid w:val="003F57B8"/>
    <w:rsid w:val="003F6C4A"/>
    <w:rsid w:val="00402BE8"/>
    <w:rsid w:val="00407959"/>
    <w:rsid w:val="004307F5"/>
    <w:rsid w:val="00435822"/>
    <w:rsid w:val="00436804"/>
    <w:rsid w:val="004372D1"/>
    <w:rsid w:val="00442608"/>
    <w:rsid w:val="00444697"/>
    <w:rsid w:val="00460E09"/>
    <w:rsid w:val="004665E0"/>
    <w:rsid w:val="00475EF0"/>
    <w:rsid w:val="004800E4"/>
    <w:rsid w:val="0048101B"/>
    <w:rsid w:val="004865CA"/>
    <w:rsid w:val="00495142"/>
    <w:rsid w:val="004A331C"/>
    <w:rsid w:val="004A3A78"/>
    <w:rsid w:val="004B006B"/>
    <w:rsid w:val="004B2551"/>
    <w:rsid w:val="004B2766"/>
    <w:rsid w:val="004C08E8"/>
    <w:rsid w:val="004D3B44"/>
    <w:rsid w:val="004D4421"/>
    <w:rsid w:val="004E3136"/>
    <w:rsid w:val="004E52B9"/>
    <w:rsid w:val="004E666C"/>
    <w:rsid w:val="004F4493"/>
    <w:rsid w:val="004F463F"/>
    <w:rsid w:val="005009DE"/>
    <w:rsid w:val="005072E6"/>
    <w:rsid w:val="005137AB"/>
    <w:rsid w:val="005147E0"/>
    <w:rsid w:val="005240EC"/>
    <w:rsid w:val="005323C8"/>
    <w:rsid w:val="0054561D"/>
    <w:rsid w:val="00547667"/>
    <w:rsid w:val="00572D5F"/>
    <w:rsid w:val="00583BDB"/>
    <w:rsid w:val="0058754A"/>
    <w:rsid w:val="00593A65"/>
    <w:rsid w:val="00593FFF"/>
    <w:rsid w:val="00596E8E"/>
    <w:rsid w:val="005A2931"/>
    <w:rsid w:val="005B4F1C"/>
    <w:rsid w:val="005C362A"/>
    <w:rsid w:val="005C4227"/>
    <w:rsid w:val="005C4B76"/>
    <w:rsid w:val="005D1F84"/>
    <w:rsid w:val="005D37EE"/>
    <w:rsid w:val="005E1AC2"/>
    <w:rsid w:val="005E475B"/>
    <w:rsid w:val="005F256A"/>
    <w:rsid w:val="005F2FFE"/>
    <w:rsid w:val="005F392D"/>
    <w:rsid w:val="005F4F7B"/>
    <w:rsid w:val="00606630"/>
    <w:rsid w:val="00610A6A"/>
    <w:rsid w:val="006110F8"/>
    <w:rsid w:val="00620D0D"/>
    <w:rsid w:val="00632078"/>
    <w:rsid w:val="00635C3E"/>
    <w:rsid w:val="006450D7"/>
    <w:rsid w:val="0065059B"/>
    <w:rsid w:val="00660416"/>
    <w:rsid w:val="006610AB"/>
    <w:rsid w:val="00672FCA"/>
    <w:rsid w:val="006768E2"/>
    <w:rsid w:val="0067771A"/>
    <w:rsid w:val="00684F27"/>
    <w:rsid w:val="0069052D"/>
    <w:rsid w:val="00693886"/>
    <w:rsid w:val="006A6FE5"/>
    <w:rsid w:val="006A72D3"/>
    <w:rsid w:val="006B0FF4"/>
    <w:rsid w:val="006B4A5D"/>
    <w:rsid w:val="006B687B"/>
    <w:rsid w:val="006C7F71"/>
    <w:rsid w:val="006E0F92"/>
    <w:rsid w:val="006E214A"/>
    <w:rsid w:val="006F34C8"/>
    <w:rsid w:val="006F49DE"/>
    <w:rsid w:val="006F5715"/>
    <w:rsid w:val="00701F18"/>
    <w:rsid w:val="00703763"/>
    <w:rsid w:val="00704F9C"/>
    <w:rsid w:val="00705455"/>
    <w:rsid w:val="00711278"/>
    <w:rsid w:val="0071245C"/>
    <w:rsid w:val="00712CEE"/>
    <w:rsid w:val="00714497"/>
    <w:rsid w:val="00723907"/>
    <w:rsid w:val="007248E8"/>
    <w:rsid w:val="00737E9C"/>
    <w:rsid w:val="00741FC8"/>
    <w:rsid w:val="00744468"/>
    <w:rsid w:val="0074692D"/>
    <w:rsid w:val="00770415"/>
    <w:rsid w:val="00771D56"/>
    <w:rsid w:val="00786540"/>
    <w:rsid w:val="0078781B"/>
    <w:rsid w:val="00792F68"/>
    <w:rsid w:val="007955BB"/>
    <w:rsid w:val="007B34AC"/>
    <w:rsid w:val="007B5350"/>
    <w:rsid w:val="007B6B6B"/>
    <w:rsid w:val="007B7957"/>
    <w:rsid w:val="007C048A"/>
    <w:rsid w:val="007C0C35"/>
    <w:rsid w:val="007C4892"/>
    <w:rsid w:val="007D0FBD"/>
    <w:rsid w:val="007D1B6D"/>
    <w:rsid w:val="007D322C"/>
    <w:rsid w:val="007E02B9"/>
    <w:rsid w:val="007F27EE"/>
    <w:rsid w:val="007F3076"/>
    <w:rsid w:val="008121A2"/>
    <w:rsid w:val="008154A4"/>
    <w:rsid w:val="008224D5"/>
    <w:rsid w:val="008248CF"/>
    <w:rsid w:val="008347DE"/>
    <w:rsid w:val="008402DA"/>
    <w:rsid w:val="0085684C"/>
    <w:rsid w:val="00857154"/>
    <w:rsid w:val="00863EF0"/>
    <w:rsid w:val="00867204"/>
    <w:rsid w:val="008737E8"/>
    <w:rsid w:val="008777C3"/>
    <w:rsid w:val="00882230"/>
    <w:rsid w:val="00885AEA"/>
    <w:rsid w:val="00890A11"/>
    <w:rsid w:val="008914BE"/>
    <w:rsid w:val="00892AA8"/>
    <w:rsid w:val="008935FE"/>
    <w:rsid w:val="008A13A3"/>
    <w:rsid w:val="008A3947"/>
    <w:rsid w:val="008A4B48"/>
    <w:rsid w:val="008A655C"/>
    <w:rsid w:val="008B1342"/>
    <w:rsid w:val="008B44C3"/>
    <w:rsid w:val="008C1A9F"/>
    <w:rsid w:val="008C46F9"/>
    <w:rsid w:val="008C5D12"/>
    <w:rsid w:val="008D0678"/>
    <w:rsid w:val="008D1307"/>
    <w:rsid w:val="008F21DD"/>
    <w:rsid w:val="008F5253"/>
    <w:rsid w:val="00906640"/>
    <w:rsid w:val="0091028F"/>
    <w:rsid w:val="00911092"/>
    <w:rsid w:val="009131C4"/>
    <w:rsid w:val="009164B6"/>
    <w:rsid w:val="009227C9"/>
    <w:rsid w:val="009237A9"/>
    <w:rsid w:val="0092424B"/>
    <w:rsid w:val="0093280E"/>
    <w:rsid w:val="00934C56"/>
    <w:rsid w:val="00953DBA"/>
    <w:rsid w:val="00955187"/>
    <w:rsid w:val="00956733"/>
    <w:rsid w:val="009621E1"/>
    <w:rsid w:val="00962951"/>
    <w:rsid w:val="009641B8"/>
    <w:rsid w:val="00973499"/>
    <w:rsid w:val="009812B6"/>
    <w:rsid w:val="00982F54"/>
    <w:rsid w:val="00983C42"/>
    <w:rsid w:val="00984B0B"/>
    <w:rsid w:val="00990909"/>
    <w:rsid w:val="00990AEE"/>
    <w:rsid w:val="009A1882"/>
    <w:rsid w:val="009B702F"/>
    <w:rsid w:val="009C2155"/>
    <w:rsid w:val="009C7C9D"/>
    <w:rsid w:val="009E145B"/>
    <w:rsid w:val="009F26F4"/>
    <w:rsid w:val="00A0275C"/>
    <w:rsid w:val="00A12901"/>
    <w:rsid w:val="00A12957"/>
    <w:rsid w:val="00A12F52"/>
    <w:rsid w:val="00A139F9"/>
    <w:rsid w:val="00A30DD9"/>
    <w:rsid w:val="00A46D3A"/>
    <w:rsid w:val="00A47158"/>
    <w:rsid w:val="00A557DB"/>
    <w:rsid w:val="00A5678F"/>
    <w:rsid w:val="00A74DE5"/>
    <w:rsid w:val="00A80B3F"/>
    <w:rsid w:val="00A85E7C"/>
    <w:rsid w:val="00A92AEF"/>
    <w:rsid w:val="00A94785"/>
    <w:rsid w:val="00A95317"/>
    <w:rsid w:val="00AB43D4"/>
    <w:rsid w:val="00AE1F53"/>
    <w:rsid w:val="00AF7836"/>
    <w:rsid w:val="00B01AF7"/>
    <w:rsid w:val="00B067B4"/>
    <w:rsid w:val="00B10AE2"/>
    <w:rsid w:val="00B12F21"/>
    <w:rsid w:val="00B26D46"/>
    <w:rsid w:val="00B303F4"/>
    <w:rsid w:val="00B32E92"/>
    <w:rsid w:val="00B51D0B"/>
    <w:rsid w:val="00B67E23"/>
    <w:rsid w:val="00B7182B"/>
    <w:rsid w:val="00B72E35"/>
    <w:rsid w:val="00B8345B"/>
    <w:rsid w:val="00B8517F"/>
    <w:rsid w:val="00B9003E"/>
    <w:rsid w:val="00B90180"/>
    <w:rsid w:val="00B97B3E"/>
    <w:rsid w:val="00BA3A83"/>
    <w:rsid w:val="00BB6BC5"/>
    <w:rsid w:val="00BC4FED"/>
    <w:rsid w:val="00BC6373"/>
    <w:rsid w:val="00BC7296"/>
    <w:rsid w:val="00BD2F10"/>
    <w:rsid w:val="00BD31BA"/>
    <w:rsid w:val="00BD4933"/>
    <w:rsid w:val="00BD70B8"/>
    <w:rsid w:val="00BE01E4"/>
    <w:rsid w:val="00BE02DD"/>
    <w:rsid w:val="00BE4EE3"/>
    <w:rsid w:val="00BE5ABC"/>
    <w:rsid w:val="00BE7B6C"/>
    <w:rsid w:val="00BF710D"/>
    <w:rsid w:val="00C03527"/>
    <w:rsid w:val="00C137D5"/>
    <w:rsid w:val="00C1395E"/>
    <w:rsid w:val="00C232C4"/>
    <w:rsid w:val="00C26A5B"/>
    <w:rsid w:val="00C27AA4"/>
    <w:rsid w:val="00C33545"/>
    <w:rsid w:val="00C35462"/>
    <w:rsid w:val="00C356E3"/>
    <w:rsid w:val="00C37BBB"/>
    <w:rsid w:val="00C37EEA"/>
    <w:rsid w:val="00C4341E"/>
    <w:rsid w:val="00C50E3E"/>
    <w:rsid w:val="00C60B85"/>
    <w:rsid w:val="00C66EC9"/>
    <w:rsid w:val="00C803C6"/>
    <w:rsid w:val="00C8209B"/>
    <w:rsid w:val="00C95C82"/>
    <w:rsid w:val="00CA3461"/>
    <w:rsid w:val="00CA7F5A"/>
    <w:rsid w:val="00CB18A5"/>
    <w:rsid w:val="00CC1981"/>
    <w:rsid w:val="00CC35DD"/>
    <w:rsid w:val="00CD279E"/>
    <w:rsid w:val="00CD4C57"/>
    <w:rsid w:val="00CD5F34"/>
    <w:rsid w:val="00CE631B"/>
    <w:rsid w:val="00CF3349"/>
    <w:rsid w:val="00CF4B6B"/>
    <w:rsid w:val="00D00BC1"/>
    <w:rsid w:val="00D13C07"/>
    <w:rsid w:val="00D206C1"/>
    <w:rsid w:val="00D21702"/>
    <w:rsid w:val="00D34811"/>
    <w:rsid w:val="00D3669B"/>
    <w:rsid w:val="00D40F37"/>
    <w:rsid w:val="00D41A86"/>
    <w:rsid w:val="00D502E4"/>
    <w:rsid w:val="00D55DCC"/>
    <w:rsid w:val="00D56722"/>
    <w:rsid w:val="00D57DC3"/>
    <w:rsid w:val="00D60288"/>
    <w:rsid w:val="00D6491E"/>
    <w:rsid w:val="00D75F73"/>
    <w:rsid w:val="00D80C7C"/>
    <w:rsid w:val="00D8459A"/>
    <w:rsid w:val="00D8777A"/>
    <w:rsid w:val="00DA407D"/>
    <w:rsid w:val="00DD3081"/>
    <w:rsid w:val="00DD675F"/>
    <w:rsid w:val="00DE3C4D"/>
    <w:rsid w:val="00DE42FC"/>
    <w:rsid w:val="00DF6E5A"/>
    <w:rsid w:val="00E02D20"/>
    <w:rsid w:val="00E132A7"/>
    <w:rsid w:val="00E15E4B"/>
    <w:rsid w:val="00E201A5"/>
    <w:rsid w:val="00E205F1"/>
    <w:rsid w:val="00E22115"/>
    <w:rsid w:val="00E24DA5"/>
    <w:rsid w:val="00E262BA"/>
    <w:rsid w:val="00E2708E"/>
    <w:rsid w:val="00E3042E"/>
    <w:rsid w:val="00E37C2F"/>
    <w:rsid w:val="00E41390"/>
    <w:rsid w:val="00E45DC9"/>
    <w:rsid w:val="00E45FD9"/>
    <w:rsid w:val="00E51EE1"/>
    <w:rsid w:val="00E52FC1"/>
    <w:rsid w:val="00E533A0"/>
    <w:rsid w:val="00E54236"/>
    <w:rsid w:val="00E629B9"/>
    <w:rsid w:val="00E64097"/>
    <w:rsid w:val="00E85A5E"/>
    <w:rsid w:val="00E92657"/>
    <w:rsid w:val="00E935C8"/>
    <w:rsid w:val="00E946AC"/>
    <w:rsid w:val="00E973DD"/>
    <w:rsid w:val="00EA0E3D"/>
    <w:rsid w:val="00EA1FDD"/>
    <w:rsid w:val="00EA360B"/>
    <w:rsid w:val="00EB21E1"/>
    <w:rsid w:val="00EB28D2"/>
    <w:rsid w:val="00EB2A0D"/>
    <w:rsid w:val="00EB2B6D"/>
    <w:rsid w:val="00EB55E9"/>
    <w:rsid w:val="00EB587D"/>
    <w:rsid w:val="00EC0AB6"/>
    <w:rsid w:val="00EC528C"/>
    <w:rsid w:val="00ED7B4C"/>
    <w:rsid w:val="00EE4DD5"/>
    <w:rsid w:val="00EF3D27"/>
    <w:rsid w:val="00F0222C"/>
    <w:rsid w:val="00F0504E"/>
    <w:rsid w:val="00F059C6"/>
    <w:rsid w:val="00F05E73"/>
    <w:rsid w:val="00F10A03"/>
    <w:rsid w:val="00F30F6B"/>
    <w:rsid w:val="00F377C0"/>
    <w:rsid w:val="00F41565"/>
    <w:rsid w:val="00F4496B"/>
    <w:rsid w:val="00F66381"/>
    <w:rsid w:val="00F66AD6"/>
    <w:rsid w:val="00F71917"/>
    <w:rsid w:val="00F71E3B"/>
    <w:rsid w:val="00F74B9D"/>
    <w:rsid w:val="00F819FF"/>
    <w:rsid w:val="00F87A7C"/>
    <w:rsid w:val="00F93540"/>
    <w:rsid w:val="00F941BA"/>
    <w:rsid w:val="00FA340F"/>
    <w:rsid w:val="00FB6C89"/>
    <w:rsid w:val="00FC17DE"/>
    <w:rsid w:val="00FC1C4C"/>
    <w:rsid w:val="00FC355A"/>
    <w:rsid w:val="00FD171C"/>
    <w:rsid w:val="00FD35DA"/>
    <w:rsid w:val="00FE3761"/>
    <w:rsid w:val="00FE4D71"/>
    <w:rsid w:val="00FE741D"/>
    <w:rsid w:val="00FF0C71"/>
    <w:rsid w:val="00FF2351"/>
    <w:rsid w:val="00FF66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1D3DA"/>
  <w15:chartTrackingRefBased/>
  <w15:docId w15:val="{9339AAEB-0C99-4B7F-BA20-F4F4C681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D0D"/>
  </w:style>
  <w:style w:type="paragraph" w:styleId="Naslov1">
    <w:name w:val="heading 1"/>
    <w:aliases w:val="Main Section"/>
    <w:basedOn w:val="Normal"/>
    <w:next w:val="Normal"/>
    <w:link w:val="Naslov1Char"/>
    <w:uiPriority w:val="9"/>
    <w:qFormat/>
    <w:rsid w:val="004665E0"/>
    <w:pPr>
      <w:keepNext/>
      <w:spacing w:after="0" w:line="240" w:lineRule="auto"/>
      <w:jc w:val="right"/>
      <w:outlineLvl w:val="0"/>
    </w:pPr>
    <w:rPr>
      <w:rFonts w:ascii="Arial" w:eastAsia="Calibri" w:hAnsi="Arial" w:cs="Arial"/>
      <w:b/>
      <w:noProof/>
      <w:color w:val="984806"/>
      <w:sz w:val="28"/>
      <w:szCs w:val="28"/>
      <w:lang w:eastAsia="hr-HR"/>
    </w:rPr>
  </w:style>
  <w:style w:type="paragraph" w:styleId="Naslov2">
    <w:name w:val="heading 2"/>
    <w:aliases w:val="Naslov 2 Char Char Char Char Char"/>
    <w:basedOn w:val="Normal"/>
    <w:next w:val="Normal"/>
    <w:link w:val="Naslov2Char"/>
    <w:qFormat/>
    <w:rsid w:val="008A3947"/>
    <w:pPr>
      <w:numPr>
        <w:numId w:val="13"/>
      </w:numPr>
      <w:ind w:left="720"/>
      <w:jc w:val="both"/>
      <w:outlineLvl w:val="1"/>
    </w:pPr>
    <w:rPr>
      <w:rFonts w:ascii="Times New Roman" w:hAnsi="Times New Roman" w:cs="Times New Roman"/>
      <w:b/>
      <w:sz w:val="24"/>
      <w:szCs w:val="24"/>
      <w:lang w:eastAsia="hr-HR"/>
    </w:rPr>
  </w:style>
  <w:style w:type="paragraph" w:styleId="Naslov3">
    <w:name w:val="heading 3"/>
    <w:basedOn w:val="Naslov2"/>
    <w:next w:val="Normal"/>
    <w:link w:val="Naslov3Char"/>
    <w:autoRedefine/>
    <w:qFormat/>
    <w:rsid w:val="003C57AF"/>
    <w:pPr>
      <w:numPr>
        <w:numId w:val="0"/>
      </w:numPr>
      <w:ind w:left="284" w:hanging="284"/>
      <w:jc w:val="left"/>
      <w:outlineLvl w:val="2"/>
    </w:pPr>
    <w:rPr>
      <w:u w:val="single"/>
    </w:rPr>
  </w:style>
  <w:style w:type="paragraph" w:styleId="Naslov4">
    <w:name w:val="heading 4"/>
    <w:basedOn w:val="Normal"/>
    <w:next w:val="Normal"/>
    <w:link w:val="Naslov4Char"/>
    <w:uiPriority w:val="9"/>
    <w:qFormat/>
    <w:rsid w:val="005F392D"/>
    <w:pPr>
      <w:keepNext/>
      <w:spacing w:after="0" w:line="240" w:lineRule="auto"/>
      <w:outlineLvl w:val="3"/>
    </w:pPr>
    <w:rPr>
      <w:rFonts w:ascii="Times New Roman" w:eastAsia="Calibri" w:hAnsi="Times New Roman" w:cs="Arial"/>
      <w:b/>
      <w:noProof/>
      <w:sz w:val="24"/>
      <w:szCs w:val="44"/>
      <w:u w:val="single"/>
      <w:lang w:eastAsia="hr-HR"/>
    </w:rPr>
  </w:style>
  <w:style w:type="paragraph" w:styleId="Naslov5">
    <w:name w:val="heading 5"/>
    <w:basedOn w:val="Normal"/>
    <w:next w:val="Normal"/>
    <w:link w:val="Naslov5Char"/>
    <w:uiPriority w:val="9"/>
    <w:qFormat/>
    <w:rsid w:val="004665E0"/>
    <w:pPr>
      <w:keepNext/>
      <w:spacing w:after="0" w:line="240" w:lineRule="auto"/>
      <w:jc w:val="both"/>
      <w:outlineLvl w:val="4"/>
    </w:pPr>
    <w:rPr>
      <w:rFonts w:ascii="Arial" w:eastAsia="Calibri" w:hAnsi="Arial" w:cs="Arial"/>
      <w:b/>
      <w:noProof/>
      <w:color w:val="984806"/>
      <w:sz w:val="24"/>
      <w:szCs w:val="24"/>
      <w:lang w:eastAsia="hr-HR"/>
    </w:rPr>
  </w:style>
  <w:style w:type="paragraph" w:styleId="Naslov6">
    <w:name w:val="heading 6"/>
    <w:basedOn w:val="Normal"/>
    <w:next w:val="Normal"/>
    <w:link w:val="Naslov6Char"/>
    <w:uiPriority w:val="9"/>
    <w:qFormat/>
    <w:rsid w:val="004665E0"/>
    <w:pPr>
      <w:keepNext/>
      <w:widowControl w:val="0"/>
      <w:autoSpaceDE w:val="0"/>
      <w:autoSpaceDN w:val="0"/>
      <w:adjustRightInd w:val="0"/>
      <w:spacing w:after="0" w:line="240" w:lineRule="auto"/>
      <w:jc w:val="both"/>
      <w:outlineLvl w:val="5"/>
    </w:pPr>
    <w:rPr>
      <w:rFonts w:ascii="Arial" w:eastAsia="Calibri" w:hAnsi="Arial" w:cs="Arial"/>
      <w:b/>
      <w:bCs/>
    </w:rPr>
  </w:style>
  <w:style w:type="paragraph" w:styleId="Naslov7">
    <w:name w:val="heading 7"/>
    <w:basedOn w:val="Normal"/>
    <w:next w:val="Normal"/>
    <w:link w:val="Naslov7Char"/>
    <w:uiPriority w:val="9"/>
    <w:qFormat/>
    <w:rsid w:val="004665E0"/>
    <w:pPr>
      <w:keepNext/>
      <w:spacing w:after="0" w:line="240" w:lineRule="auto"/>
      <w:outlineLvl w:val="6"/>
    </w:pPr>
    <w:rPr>
      <w:rFonts w:ascii="Arial" w:eastAsia="Calibri" w:hAnsi="Arial" w:cs="Arial"/>
      <w:b/>
      <w:noProof/>
      <w:color w:val="984806"/>
      <w:szCs w:val="24"/>
      <w:lang w:eastAsia="hr-HR"/>
    </w:rPr>
  </w:style>
  <w:style w:type="paragraph" w:styleId="Naslov8">
    <w:name w:val="heading 8"/>
    <w:basedOn w:val="Normal"/>
    <w:next w:val="Normal"/>
    <w:link w:val="Naslov8Char"/>
    <w:uiPriority w:val="9"/>
    <w:qFormat/>
    <w:rsid w:val="004665E0"/>
    <w:pPr>
      <w:keepNext/>
      <w:spacing w:after="0" w:line="240" w:lineRule="auto"/>
      <w:outlineLvl w:val="7"/>
    </w:pPr>
    <w:rPr>
      <w:rFonts w:ascii="Arial" w:eastAsia="Calibri" w:hAnsi="Arial" w:cs="Arial"/>
      <w:b/>
      <w:noProof/>
      <w:szCs w:val="20"/>
      <w:lang w:eastAsia="hr-HR"/>
    </w:rPr>
  </w:style>
  <w:style w:type="paragraph" w:styleId="Naslov9">
    <w:name w:val="heading 9"/>
    <w:basedOn w:val="Normal"/>
    <w:next w:val="Normal"/>
    <w:link w:val="Naslov9Char"/>
    <w:uiPriority w:val="9"/>
    <w:qFormat/>
    <w:rsid w:val="004665E0"/>
    <w:pPr>
      <w:spacing w:before="240" w:after="60" w:line="240" w:lineRule="auto"/>
      <w:outlineLvl w:val="8"/>
    </w:pPr>
    <w:rPr>
      <w:rFonts w:ascii="Arial" w:eastAsia="Calibri" w:hAnsi="Arial" w:cs="Ari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Main Section Char"/>
    <w:basedOn w:val="Zadanifontodlomka"/>
    <w:link w:val="Naslov1"/>
    <w:uiPriority w:val="9"/>
    <w:rsid w:val="004665E0"/>
    <w:rPr>
      <w:rFonts w:ascii="Arial" w:eastAsia="Calibri" w:hAnsi="Arial" w:cs="Arial"/>
      <w:b/>
      <w:noProof/>
      <w:color w:val="984806"/>
      <w:sz w:val="28"/>
      <w:szCs w:val="28"/>
      <w:lang w:eastAsia="hr-HR"/>
    </w:rPr>
  </w:style>
  <w:style w:type="character" w:customStyle="1" w:styleId="Naslov2Char">
    <w:name w:val="Naslov 2 Char"/>
    <w:aliases w:val="Naslov 2 Char Char Char Char Char Char"/>
    <w:basedOn w:val="Zadanifontodlomka"/>
    <w:link w:val="Naslov2"/>
    <w:rsid w:val="008A3947"/>
    <w:rPr>
      <w:rFonts w:ascii="Times New Roman" w:hAnsi="Times New Roman" w:cs="Times New Roman"/>
      <w:b/>
      <w:sz w:val="24"/>
      <w:szCs w:val="24"/>
      <w:lang w:eastAsia="hr-HR"/>
    </w:rPr>
  </w:style>
  <w:style w:type="character" w:customStyle="1" w:styleId="Naslov3Char">
    <w:name w:val="Naslov 3 Char"/>
    <w:basedOn w:val="Zadanifontodlomka"/>
    <w:link w:val="Naslov3"/>
    <w:rsid w:val="003C57AF"/>
    <w:rPr>
      <w:rFonts w:ascii="Times New Roman" w:hAnsi="Times New Roman" w:cs="Times New Roman"/>
      <w:b/>
      <w:sz w:val="24"/>
      <w:szCs w:val="24"/>
      <w:u w:val="single"/>
      <w:lang w:eastAsia="hr-HR"/>
    </w:rPr>
  </w:style>
  <w:style w:type="character" w:customStyle="1" w:styleId="Naslov4Char">
    <w:name w:val="Naslov 4 Char"/>
    <w:basedOn w:val="Zadanifontodlomka"/>
    <w:link w:val="Naslov4"/>
    <w:uiPriority w:val="9"/>
    <w:rsid w:val="005F392D"/>
    <w:rPr>
      <w:rFonts w:ascii="Times New Roman" w:eastAsia="Calibri" w:hAnsi="Times New Roman" w:cs="Arial"/>
      <w:b/>
      <w:noProof/>
      <w:sz w:val="24"/>
      <w:szCs w:val="44"/>
      <w:u w:val="single"/>
      <w:lang w:eastAsia="hr-HR"/>
    </w:rPr>
  </w:style>
  <w:style w:type="character" w:customStyle="1" w:styleId="Naslov5Char">
    <w:name w:val="Naslov 5 Char"/>
    <w:basedOn w:val="Zadanifontodlomka"/>
    <w:link w:val="Naslov5"/>
    <w:uiPriority w:val="9"/>
    <w:rsid w:val="004665E0"/>
    <w:rPr>
      <w:rFonts w:ascii="Arial" w:eastAsia="Calibri" w:hAnsi="Arial" w:cs="Arial"/>
      <w:b/>
      <w:noProof/>
      <w:color w:val="984806"/>
      <w:sz w:val="24"/>
      <w:szCs w:val="24"/>
      <w:lang w:eastAsia="hr-HR"/>
    </w:rPr>
  </w:style>
  <w:style w:type="character" w:customStyle="1" w:styleId="Naslov6Char">
    <w:name w:val="Naslov 6 Char"/>
    <w:basedOn w:val="Zadanifontodlomka"/>
    <w:link w:val="Naslov6"/>
    <w:uiPriority w:val="9"/>
    <w:rsid w:val="004665E0"/>
    <w:rPr>
      <w:rFonts w:ascii="Arial" w:eastAsia="Calibri" w:hAnsi="Arial" w:cs="Arial"/>
      <w:b/>
      <w:bCs/>
    </w:rPr>
  </w:style>
  <w:style w:type="character" w:customStyle="1" w:styleId="Naslov7Char">
    <w:name w:val="Naslov 7 Char"/>
    <w:basedOn w:val="Zadanifontodlomka"/>
    <w:link w:val="Naslov7"/>
    <w:uiPriority w:val="9"/>
    <w:rsid w:val="004665E0"/>
    <w:rPr>
      <w:rFonts w:ascii="Arial" w:eastAsia="Calibri" w:hAnsi="Arial" w:cs="Arial"/>
      <w:b/>
      <w:noProof/>
      <w:color w:val="984806"/>
      <w:szCs w:val="24"/>
      <w:lang w:eastAsia="hr-HR"/>
    </w:rPr>
  </w:style>
  <w:style w:type="character" w:customStyle="1" w:styleId="Naslov8Char">
    <w:name w:val="Naslov 8 Char"/>
    <w:basedOn w:val="Zadanifontodlomka"/>
    <w:link w:val="Naslov8"/>
    <w:uiPriority w:val="9"/>
    <w:rsid w:val="004665E0"/>
    <w:rPr>
      <w:rFonts w:ascii="Arial" w:eastAsia="Calibri" w:hAnsi="Arial" w:cs="Arial"/>
      <w:b/>
      <w:noProof/>
      <w:szCs w:val="20"/>
      <w:lang w:eastAsia="hr-HR"/>
    </w:rPr>
  </w:style>
  <w:style w:type="character" w:customStyle="1" w:styleId="Naslov9Char">
    <w:name w:val="Naslov 9 Char"/>
    <w:basedOn w:val="Zadanifontodlomka"/>
    <w:link w:val="Naslov9"/>
    <w:uiPriority w:val="9"/>
    <w:rsid w:val="004665E0"/>
    <w:rPr>
      <w:rFonts w:ascii="Arial" w:eastAsia="Calibri" w:hAnsi="Arial" w:cs="Arial"/>
    </w:rPr>
  </w:style>
  <w:style w:type="numbering" w:customStyle="1" w:styleId="Bezpopisa1">
    <w:name w:val="Bez popisa1"/>
    <w:next w:val="Bezpopisa"/>
    <w:uiPriority w:val="99"/>
    <w:semiHidden/>
    <w:rsid w:val="004665E0"/>
  </w:style>
  <w:style w:type="paragraph" w:customStyle="1" w:styleId="CharCharCharCharCharCharCharCharCharCharCharCharCharCharCharCharCharCharCharCharCharCharCharCharCharCharCharChar1CharChar2">
    <w:name w:val="Char Char Char Char Char Char Char Char Char Char Char Char Char Char Char Char Char Char Char Char Char Char Char Char Char Char Char Char1 Char Char2"/>
    <w:basedOn w:val="Normal"/>
    <w:autoRedefine/>
    <w:rsid w:val="004665E0"/>
    <w:pPr>
      <w:spacing w:line="240" w:lineRule="exact"/>
    </w:pPr>
    <w:rPr>
      <w:rFonts w:ascii="Life L2" w:eastAsia="Times New Roman" w:hAnsi="Life L2" w:cs="Life L2"/>
      <w:lang w:val="en-GB"/>
    </w:rPr>
  </w:style>
  <w:style w:type="paragraph" w:customStyle="1" w:styleId="BalloonText1">
    <w:name w:val="Balloon Text1"/>
    <w:basedOn w:val="Normal"/>
    <w:semiHidden/>
    <w:unhideWhenUsed/>
    <w:rsid w:val="004665E0"/>
    <w:pPr>
      <w:spacing w:after="0" w:line="240" w:lineRule="auto"/>
    </w:pPr>
    <w:rPr>
      <w:rFonts w:ascii="Tahoma" w:eastAsia="Calibri" w:hAnsi="Tahoma" w:cs="Tahoma"/>
      <w:b/>
      <w:sz w:val="16"/>
      <w:szCs w:val="16"/>
    </w:rPr>
  </w:style>
  <w:style w:type="character" w:customStyle="1" w:styleId="BalloonTextChar">
    <w:name w:val="Balloon Text Char"/>
    <w:semiHidden/>
    <w:rsid w:val="004665E0"/>
    <w:rPr>
      <w:rFonts w:ascii="Tahoma" w:hAnsi="Tahoma" w:cs="Tahoma"/>
      <w:sz w:val="16"/>
      <w:szCs w:val="16"/>
    </w:rPr>
  </w:style>
  <w:style w:type="paragraph" w:styleId="Zaglavlje">
    <w:name w:val="header"/>
    <w:aliases w:val=" Char"/>
    <w:basedOn w:val="Normal"/>
    <w:link w:val="ZaglavljeChar"/>
    <w:uiPriority w:val="99"/>
    <w:unhideWhenUsed/>
    <w:rsid w:val="004665E0"/>
    <w:pPr>
      <w:tabs>
        <w:tab w:val="center" w:pos="4536"/>
        <w:tab w:val="right" w:pos="9072"/>
      </w:tabs>
      <w:spacing w:after="0" w:line="240" w:lineRule="auto"/>
    </w:pPr>
    <w:rPr>
      <w:rFonts w:ascii="Calibri" w:eastAsia="Calibri" w:hAnsi="Calibri" w:cs="Times New Roman"/>
      <w:b/>
    </w:rPr>
  </w:style>
  <w:style w:type="character" w:customStyle="1" w:styleId="ZaglavljeChar">
    <w:name w:val="Zaglavlje Char"/>
    <w:aliases w:val=" Char Char"/>
    <w:basedOn w:val="Zadanifontodlomka"/>
    <w:link w:val="Zaglavlje"/>
    <w:uiPriority w:val="99"/>
    <w:rsid w:val="004665E0"/>
    <w:rPr>
      <w:rFonts w:ascii="Calibri" w:eastAsia="Calibri" w:hAnsi="Calibri" w:cs="Times New Roman"/>
      <w:b/>
    </w:rPr>
  </w:style>
  <w:style w:type="character" w:customStyle="1" w:styleId="HeaderChar">
    <w:name w:val="Header Char"/>
    <w:semiHidden/>
    <w:rsid w:val="004665E0"/>
    <w:rPr>
      <w:sz w:val="22"/>
      <w:szCs w:val="22"/>
      <w:lang w:eastAsia="en-US"/>
    </w:rPr>
  </w:style>
  <w:style w:type="paragraph" w:styleId="Podnoje">
    <w:name w:val="footer"/>
    <w:basedOn w:val="Normal"/>
    <w:link w:val="PodnojeChar"/>
    <w:uiPriority w:val="99"/>
    <w:unhideWhenUsed/>
    <w:rsid w:val="004665E0"/>
    <w:pPr>
      <w:tabs>
        <w:tab w:val="center" w:pos="4536"/>
        <w:tab w:val="right" w:pos="9072"/>
      </w:tabs>
      <w:spacing w:after="0" w:line="240" w:lineRule="auto"/>
    </w:pPr>
    <w:rPr>
      <w:rFonts w:ascii="Calibri" w:eastAsia="Calibri" w:hAnsi="Calibri" w:cs="Times New Roman"/>
      <w:b/>
    </w:rPr>
  </w:style>
  <w:style w:type="character" w:customStyle="1" w:styleId="PodnojeChar">
    <w:name w:val="Podnožje Char"/>
    <w:basedOn w:val="Zadanifontodlomka"/>
    <w:link w:val="Podnoje"/>
    <w:uiPriority w:val="99"/>
    <w:rsid w:val="004665E0"/>
    <w:rPr>
      <w:rFonts w:ascii="Calibri" w:eastAsia="Calibri" w:hAnsi="Calibri" w:cs="Times New Roman"/>
      <w:b/>
    </w:rPr>
  </w:style>
  <w:style w:type="character" w:customStyle="1" w:styleId="FooterChar">
    <w:name w:val="Footer Char"/>
    <w:rsid w:val="004665E0"/>
    <w:rPr>
      <w:sz w:val="22"/>
      <w:szCs w:val="22"/>
      <w:lang w:eastAsia="en-US"/>
    </w:rPr>
  </w:style>
  <w:style w:type="paragraph" w:customStyle="1" w:styleId="Bezproreda1">
    <w:name w:val="Bez proreda1"/>
    <w:qFormat/>
    <w:rsid w:val="004665E0"/>
    <w:pPr>
      <w:spacing w:after="0" w:line="240" w:lineRule="auto"/>
    </w:pPr>
    <w:rPr>
      <w:rFonts w:ascii="Calibri" w:eastAsia="Times New Roman" w:hAnsi="Calibri" w:cs="Calibri"/>
      <w:lang w:val="en-US"/>
    </w:rPr>
  </w:style>
  <w:style w:type="paragraph" w:styleId="StandardWeb">
    <w:name w:val="Normal (Web)"/>
    <w:basedOn w:val="Normal"/>
    <w:uiPriority w:val="99"/>
    <w:rsid w:val="004665E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2">
    <w:name w:val="Body Text 2"/>
    <w:basedOn w:val="Normal"/>
    <w:link w:val="Tijeloteksta2Char"/>
    <w:rsid w:val="004665E0"/>
    <w:pPr>
      <w:spacing w:after="0" w:line="240" w:lineRule="auto"/>
    </w:pPr>
    <w:rPr>
      <w:rFonts w:ascii="Bookman Old Style" w:eastAsia="Times New Roman" w:hAnsi="Bookman Old Style" w:cs="Times New Roman"/>
      <w:i/>
      <w:iCs/>
      <w:sz w:val="24"/>
      <w:szCs w:val="24"/>
      <w:lang w:eastAsia="hr-HR"/>
    </w:rPr>
  </w:style>
  <w:style w:type="character" w:customStyle="1" w:styleId="Tijeloteksta2Char">
    <w:name w:val="Tijelo teksta 2 Char"/>
    <w:basedOn w:val="Zadanifontodlomka"/>
    <w:link w:val="Tijeloteksta2"/>
    <w:rsid w:val="004665E0"/>
    <w:rPr>
      <w:rFonts w:ascii="Bookman Old Style" w:eastAsia="Times New Roman" w:hAnsi="Bookman Old Style" w:cs="Times New Roman"/>
      <w:i/>
      <w:iCs/>
      <w:sz w:val="24"/>
      <w:szCs w:val="24"/>
      <w:lang w:eastAsia="hr-HR"/>
    </w:rPr>
  </w:style>
  <w:style w:type="character" w:customStyle="1" w:styleId="NoSpacingChar">
    <w:name w:val="No Spacing Char"/>
    <w:rsid w:val="004665E0"/>
    <w:rPr>
      <w:rFonts w:eastAsia="Times New Roman" w:cs="Calibri"/>
      <w:sz w:val="22"/>
      <w:szCs w:val="22"/>
      <w:lang w:val="en-US" w:eastAsia="en-US" w:bidi="ar-SA"/>
    </w:rPr>
  </w:style>
  <w:style w:type="paragraph" w:customStyle="1" w:styleId="t-9-8">
    <w:name w:val="t-9-8"/>
    <w:basedOn w:val="Normal"/>
    <w:rsid w:val="004665E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Popis2">
    <w:name w:val="List 2"/>
    <w:basedOn w:val="Normal"/>
    <w:rsid w:val="004665E0"/>
    <w:pPr>
      <w:spacing w:after="0" w:line="240" w:lineRule="auto"/>
      <w:ind w:left="566" w:hanging="283"/>
    </w:pPr>
    <w:rPr>
      <w:rFonts w:ascii="Times New Roman" w:eastAsia="Times New Roman" w:hAnsi="Times New Roman" w:cs="Times New Roman"/>
      <w:sz w:val="24"/>
      <w:szCs w:val="24"/>
      <w:lang w:val="en-GB" w:eastAsia="en-GB"/>
    </w:rPr>
  </w:style>
  <w:style w:type="character" w:styleId="Hiperveza">
    <w:name w:val="Hyperlink"/>
    <w:uiPriority w:val="99"/>
    <w:unhideWhenUsed/>
    <w:rsid w:val="004665E0"/>
    <w:rPr>
      <w:color w:val="0000FF"/>
      <w:u w:val="single"/>
    </w:rPr>
  </w:style>
  <w:style w:type="paragraph" w:styleId="Podnaslov">
    <w:name w:val="Subtitle"/>
    <w:aliases w:val="Podnaslov Char Char"/>
    <w:basedOn w:val="Normal"/>
    <w:link w:val="PodnaslovChar"/>
    <w:uiPriority w:val="11"/>
    <w:qFormat/>
    <w:rsid w:val="004665E0"/>
    <w:pPr>
      <w:spacing w:after="0" w:line="240" w:lineRule="auto"/>
      <w:jc w:val="center"/>
    </w:pPr>
    <w:rPr>
      <w:rFonts w:ascii="Bookman Old Style" w:eastAsia="Times New Roman" w:hAnsi="Bookman Old Style" w:cs="Times New Roman"/>
      <w:b/>
      <w:sz w:val="20"/>
      <w:szCs w:val="20"/>
      <w:lang w:eastAsia="hr-HR"/>
    </w:rPr>
  </w:style>
  <w:style w:type="character" w:customStyle="1" w:styleId="PodnaslovChar">
    <w:name w:val="Podnaslov Char"/>
    <w:aliases w:val="Podnaslov Char Char Char"/>
    <w:basedOn w:val="Zadanifontodlomka"/>
    <w:link w:val="Podnaslov"/>
    <w:uiPriority w:val="11"/>
    <w:rsid w:val="004665E0"/>
    <w:rPr>
      <w:rFonts w:ascii="Bookman Old Style" w:eastAsia="Times New Roman" w:hAnsi="Bookman Old Style" w:cs="Times New Roman"/>
      <w:b/>
      <w:sz w:val="20"/>
      <w:szCs w:val="20"/>
      <w:lang w:eastAsia="hr-HR"/>
    </w:rPr>
  </w:style>
  <w:style w:type="character" w:customStyle="1" w:styleId="SubtitleChar">
    <w:name w:val="Subtitle Char"/>
    <w:rsid w:val="004665E0"/>
    <w:rPr>
      <w:rFonts w:ascii="Bookman Old Style" w:eastAsia="Times New Roman" w:hAnsi="Bookman Old Style"/>
      <w:b/>
    </w:rPr>
  </w:style>
  <w:style w:type="character" w:customStyle="1" w:styleId="Heading2Char">
    <w:name w:val="Heading 2 Char"/>
    <w:rsid w:val="004665E0"/>
    <w:rPr>
      <w:rFonts w:ascii="Arial" w:eastAsia="Times New Roman" w:hAnsi="Arial" w:cs="Arial"/>
      <w:b/>
      <w:bCs/>
      <w:iCs/>
      <w:sz w:val="22"/>
      <w:szCs w:val="28"/>
      <w:u w:val="single"/>
      <w:lang w:val="en-US" w:eastAsia="en-US"/>
    </w:rPr>
  </w:style>
  <w:style w:type="paragraph" w:styleId="Uvuenotijeloteksta">
    <w:name w:val="Body Text Indent"/>
    <w:basedOn w:val="Normal"/>
    <w:link w:val="UvuenotijelotekstaChar"/>
    <w:rsid w:val="004665E0"/>
    <w:pPr>
      <w:spacing w:after="0" w:line="240" w:lineRule="auto"/>
      <w:ind w:left="-90" w:firstLine="810"/>
      <w:jc w:val="both"/>
    </w:pPr>
    <w:rPr>
      <w:rFonts w:ascii="Bookman Old Style" w:eastAsia="Times New Roman" w:hAnsi="Bookman Old Style" w:cs="Times New Roman"/>
      <w:i/>
      <w:sz w:val="24"/>
      <w:szCs w:val="20"/>
      <w:lang w:eastAsia="hr-HR"/>
    </w:rPr>
  </w:style>
  <w:style w:type="character" w:customStyle="1" w:styleId="UvuenotijelotekstaChar">
    <w:name w:val="Uvučeno tijelo teksta Char"/>
    <w:basedOn w:val="Zadanifontodlomka"/>
    <w:link w:val="Uvuenotijeloteksta"/>
    <w:rsid w:val="004665E0"/>
    <w:rPr>
      <w:rFonts w:ascii="Bookman Old Style" w:eastAsia="Times New Roman" w:hAnsi="Bookman Old Style" w:cs="Times New Roman"/>
      <w:i/>
      <w:sz w:val="24"/>
      <w:szCs w:val="20"/>
      <w:lang w:eastAsia="hr-HR"/>
    </w:rPr>
  </w:style>
  <w:style w:type="character" w:customStyle="1" w:styleId="BodyTextIndentChar">
    <w:name w:val="Body Text Indent Char"/>
    <w:rsid w:val="004665E0"/>
    <w:rPr>
      <w:rFonts w:ascii="Bookman Old Style" w:eastAsia="Times New Roman" w:hAnsi="Bookman Old Style"/>
      <w:i/>
      <w:sz w:val="24"/>
    </w:rPr>
  </w:style>
  <w:style w:type="paragraph" w:styleId="Tijeloteksta">
    <w:name w:val="Body Text"/>
    <w:aliases w:val="Tijelo teksta2,Tijelo teksta21,Tijelo teksta211,uvlaka 2,uvlaka 3"/>
    <w:basedOn w:val="Normal"/>
    <w:link w:val="TijelotekstaChar"/>
    <w:rsid w:val="004665E0"/>
    <w:pPr>
      <w:spacing w:after="0" w:line="240" w:lineRule="auto"/>
      <w:jc w:val="both"/>
    </w:pPr>
    <w:rPr>
      <w:rFonts w:ascii="Bookman Old Style" w:eastAsia="Times New Roman" w:hAnsi="Bookman Old Style" w:cs="Times New Roman"/>
      <w:i/>
      <w:sz w:val="24"/>
      <w:szCs w:val="20"/>
      <w:lang w:eastAsia="hr-HR"/>
    </w:rPr>
  </w:style>
  <w:style w:type="character" w:customStyle="1" w:styleId="TijelotekstaChar">
    <w:name w:val="Tijelo teksta Char"/>
    <w:aliases w:val="Tijelo teksta2 Char,Tijelo teksta21 Char,Tijelo teksta211 Char,uvlaka 2 Char,uvlaka 3 Char"/>
    <w:basedOn w:val="Zadanifontodlomka"/>
    <w:link w:val="Tijeloteksta"/>
    <w:rsid w:val="004665E0"/>
    <w:rPr>
      <w:rFonts w:ascii="Bookman Old Style" w:eastAsia="Times New Roman" w:hAnsi="Bookman Old Style" w:cs="Times New Roman"/>
      <w:i/>
      <w:sz w:val="24"/>
      <w:szCs w:val="20"/>
      <w:lang w:eastAsia="hr-HR"/>
    </w:rPr>
  </w:style>
  <w:style w:type="character" w:customStyle="1" w:styleId="BodyTextChar">
    <w:name w:val="Body Text Char"/>
    <w:rsid w:val="004665E0"/>
    <w:rPr>
      <w:rFonts w:ascii="Bookman Old Style" w:eastAsia="Times New Roman" w:hAnsi="Bookman Old Style"/>
      <w:i/>
      <w:sz w:val="24"/>
    </w:rPr>
  </w:style>
  <w:style w:type="paragraph" w:styleId="Tekstfusnote">
    <w:name w:val="footnote text"/>
    <w:aliases w:val="Footnote Text Char,Footnote Text Char2 Char,Footnote Text Char1 Char1 Char,Footnote Text Char Char Char Char,Footnote Text Char2 Char Char Char1 Char,Footnote Text Char Char1 Char Char Char Char,Footnote Text Char2"/>
    <w:basedOn w:val="Normal"/>
    <w:link w:val="TekstfusnoteChar"/>
    <w:uiPriority w:val="99"/>
    <w:semiHidden/>
    <w:rsid w:val="004665E0"/>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aliases w:val="Footnote Text Char Char,Footnote Text Char2 Char Char,Footnote Text Char1 Char1 Char Char,Footnote Text Char Char Char Char Char,Footnote Text Char2 Char Char Char1 Char Char,Footnote Text Char Char1 Char Char Char Char Char"/>
    <w:basedOn w:val="Zadanifontodlomka"/>
    <w:link w:val="Tekstfusnote"/>
    <w:uiPriority w:val="99"/>
    <w:semiHidden/>
    <w:rsid w:val="004665E0"/>
    <w:rPr>
      <w:rFonts w:ascii="Times New Roman" w:eastAsia="Times New Roman" w:hAnsi="Times New Roman" w:cs="Times New Roman"/>
      <w:sz w:val="20"/>
      <w:szCs w:val="20"/>
      <w:lang w:eastAsia="hr-HR"/>
    </w:rPr>
  </w:style>
  <w:style w:type="character" w:styleId="Referencafusnote">
    <w:name w:val="footnote reference"/>
    <w:aliases w:val="fr"/>
    <w:uiPriority w:val="99"/>
    <w:semiHidden/>
    <w:rsid w:val="004665E0"/>
    <w:rPr>
      <w:vertAlign w:val="superscript"/>
    </w:rPr>
  </w:style>
  <w:style w:type="paragraph" w:styleId="Tijeloteksta3">
    <w:name w:val="Body Text 3"/>
    <w:basedOn w:val="Normal"/>
    <w:link w:val="Tijeloteksta3Char"/>
    <w:rsid w:val="004665E0"/>
    <w:pPr>
      <w:spacing w:after="0" w:line="240" w:lineRule="auto"/>
    </w:pPr>
    <w:rPr>
      <w:rFonts w:ascii="Arial" w:eastAsia="Times New Roman" w:hAnsi="Arial" w:cs="Arial"/>
      <w:b/>
      <w:iCs/>
      <w:color w:val="984806"/>
      <w:szCs w:val="20"/>
      <w:lang w:eastAsia="hr-HR"/>
    </w:rPr>
  </w:style>
  <w:style w:type="character" w:customStyle="1" w:styleId="Tijeloteksta3Char">
    <w:name w:val="Tijelo teksta 3 Char"/>
    <w:basedOn w:val="Zadanifontodlomka"/>
    <w:link w:val="Tijeloteksta3"/>
    <w:rsid w:val="004665E0"/>
    <w:rPr>
      <w:rFonts w:ascii="Arial" w:eastAsia="Times New Roman" w:hAnsi="Arial" w:cs="Arial"/>
      <w:b/>
      <w:iCs/>
      <w:color w:val="984806"/>
      <w:szCs w:val="20"/>
      <w:lang w:eastAsia="hr-HR"/>
    </w:rPr>
  </w:style>
  <w:style w:type="paragraph" w:styleId="Tekstkomentara">
    <w:name w:val="annotation text"/>
    <w:basedOn w:val="Normal"/>
    <w:link w:val="TekstkomentaraChar"/>
    <w:uiPriority w:val="99"/>
    <w:rsid w:val="004665E0"/>
    <w:pPr>
      <w:spacing w:after="0" w:line="240" w:lineRule="auto"/>
    </w:pPr>
    <w:rPr>
      <w:rFonts w:ascii="Times New Roman" w:eastAsia="SimSun" w:hAnsi="Times New Roman" w:cs="Times New Roman"/>
      <w:sz w:val="20"/>
      <w:szCs w:val="20"/>
      <w:lang w:eastAsia="zh-CN"/>
    </w:rPr>
  </w:style>
  <w:style w:type="character" w:customStyle="1" w:styleId="TekstkomentaraChar">
    <w:name w:val="Tekst komentara Char"/>
    <w:basedOn w:val="Zadanifontodlomka"/>
    <w:link w:val="Tekstkomentara"/>
    <w:uiPriority w:val="99"/>
    <w:rsid w:val="004665E0"/>
    <w:rPr>
      <w:rFonts w:ascii="Times New Roman" w:eastAsia="SimSun" w:hAnsi="Times New Roman" w:cs="Times New Roman"/>
      <w:sz w:val="20"/>
      <w:szCs w:val="20"/>
      <w:lang w:eastAsia="zh-CN"/>
    </w:rPr>
  </w:style>
  <w:style w:type="paragraph" w:styleId="Tijeloteksta-uvlaka3">
    <w:name w:val="Body Text Indent 3"/>
    <w:aliases w:val=" uvlaka 3,Tijelo teksta3, uvlaka 32,Tijelo teksta31, uvlaka 321, uvlaka 3211"/>
    <w:basedOn w:val="Normal"/>
    <w:link w:val="Tijeloteksta-uvlaka3Char"/>
    <w:rsid w:val="004665E0"/>
    <w:pPr>
      <w:spacing w:after="120" w:line="240" w:lineRule="auto"/>
      <w:ind w:left="283"/>
    </w:pPr>
    <w:rPr>
      <w:rFonts w:ascii="Times New Roman" w:eastAsia="Times New Roman" w:hAnsi="Times New Roman" w:cs="Times New Roman"/>
      <w:sz w:val="16"/>
      <w:szCs w:val="16"/>
      <w:lang w:eastAsia="hr-HR"/>
    </w:rPr>
  </w:style>
  <w:style w:type="character" w:customStyle="1" w:styleId="Tijeloteksta-uvlaka3Char">
    <w:name w:val="Tijelo teksta - uvlaka 3 Char"/>
    <w:aliases w:val=" uvlaka 3 Char,Tijelo teksta3 Char, uvlaka 32 Char,Tijelo teksta31 Char, uvlaka 321 Char, uvlaka 3211 Char"/>
    <w:basedOn w:val="Zadanifontodlomka"/>
    <w:link w:val="Tijeloteksta-uvlaka3"/>
    <w:rsid w:val="004665E0"/>
    <w:rPr>
      <w:rFonts w:ascii="Times New Roman" w:eastAsia="Times New Roman" w:hAnsi="Times New Roman" w:cs="Times New Roman"/>
      <w:sz w:val="16"/>
      <w:szCs w:val="16"/>
      <w:lang w:eastAsia="hr-HR"/>
    </w:rPr>
  </w:style>
  <w:style w:type="paragraph" w:customStyle="1" w:styleId="CharChar">
    <w:name w:val="Char Char"/>
    <w:basedOn w:val="Normal"/>
    <w:rsid w:val="004665E0"/>
    <w:pPr>
      <w:spacing w:line="240" w:lineRule="exact"/>
    </w:pPr>
    <w:rPr>
      <w:rFonts w:ascii="Tahoma" w:eastAsia="Times New Roman" w:hAnsi="Tahoma" w:cs="Times New Roman"/>
      <w:sz w:val="20"/>
      <w:szCs w:val="20"/>
      <w:lang w:val="en-US"/>
    </w:rPr>
  </w:style>
  <w:style w:type="paragraph" w:customStyle="1" w:styleId="t-9-8-bez-uvl">
    <w:name w:val="t-9-8-bez-uvl"/>
    <w:basedOn w:val="Normal"/>
    <w:rsid w:val="004665E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uvlaka2">
    <w:name w:val="Body Text Indent 2"/>
    <w:aliases w:val="  uvlaka 2,Tijelo teksta1,  uvlaka 21,Tijelo teksta11,  uvlaka 211,Tijelo teksta111,  uvlaka 2111,Tijelo teksta1111, uvlaka 31,  uvlaka 21111"/>
    <w:basedOn w:val="Normal"/>
    <w:link w:val="Tijeloteksta-uvlaka2Char"/>
    <w:rsid w:val="004665E0"/>
    <w:pPr>
      <w:spacing w:after="0" w:line="240" w:lineRule="auto"/>
      <w:ind w:firstLine="708"/>
      <w:jc w:val="both"/>
    </w:pPr>
    <w:rPr>
      <w:rFonts w:ascii="Arial" w:eastAsia="Calibri" w:hAnsi="Arial" w:cs="Arial"/>
      <w:b/>
      <w:i/>
      <w:noProof/>
      <w:szCs w:val="20"/>
      <w:lang w:eastAsia="hr-HR"/>
    </w:rPr>
  </w:style>
  <w:style w:type="character" w:customStyle="1" w:styleId="Tijeloteksta-uvlaka2Char">
    <w:name w:val="Tijelo teksta - uvlaka 2 Char"/>
    <w:aliases w:val="  uvlaka 2 Char,Tijelo teksta1 Char,  uvlaka 21 Char,Tijelo teksta11 Char,  uvlaka 211 Char,Tijelo teksta111 Char,  uvlaka 2111 Char,Tijelo teksta1111 Char, uvlaka 31 Char,  uvlaka 21111 Char"/>
    <w:basedOn w:val="Zadanifontodlomka"/>
    <w:link w:val="Tijeloteksta-uvlaka2"/>
    <w:rsid w:val="004665E0"/>
    <w:rPr>
      <w:rFonts w:ascii="Arial" w:eastAsia="Calibri" w:hAnsi="Arial" w:cs="Arial"/>
      <w:b/>
      <w:i/>
      <w:noProof/>
      <w:szCs w:val="20"/>
      <w:lang w:eastAsia="hr-HR"/>
    </w:rPr>
  </w:style>
  <w:style w:type="paragraph" w:styleId="Tekstbalonia">
    <w:name w:val="Balloon Text"/>
    <w:basedOn w:val="Normal"/>
    <w:link w:val="TekstbaloniaChar"/>
    <w:uiPriority w:val="99"/>
    <w:semiHidden/>
    <w:unhideWhenUsed/>
    <w:rsid w:val="004665E0"/>
    <w:pPr>
      <w:spacing w:after="0" w:line="240" w:lineRule="auto"/>
    </w:pPr>
    <w:rPr>
      <w:rFonts w:ascii="Tahoma" w:eastAsia="Calibri" w:hAnsi="Tahoma" w:cs="Tahoma"/>
      <w:b/>
      <w:sz w:val="16"/>
      <w:szCs w:val="16"/>
    </w:rPr>
  </w:style>
  <w:style w:type="character" w:customStyle="1" w:styleId="TekstbaloniaChar">
    <w:name w:val="Tekst balončića Char"/>
    <w:basedOn w:val="Zadanifontodlomka"/>
    <w:link w:val="Tekstbalonia"/>
    <w:uiPriority w:val="99"/>
    <w:semiHidden/>
    <w:rsid w:val="004665E0"/>
    <w:rPr>
      <w:rFonts w:ascii="Tahoma" w:eastAsia="Calibri" w:hAnsi="Tahoma" w:cs="Tahoma"/>
      <w:b/>
      <w:sz w:val="16"/>
      <w:szCs w:val="16"/>
    </w:rPr>
  </w:style>
  <w:style w:type="character" w:customStyle="1" w:styleId="CommentTextChar">
    <w:name w:val="Comment Text Char"/>
    <w:semiHidden/>
    <w:rsid w:val="004665E0"/>
    <w:rPr>
      <w:rFonts w:ascii="Times New Roman" w:eastAsia="SimSun" w:hAnsi="Times New Roman"/>
      <w:lang w:eastAsia="zh-CN"/>
    </w:rPr>
  </w:style>
  <w:style w:type="paragraph" w:customStyle="1" w:styleId="T-119sred">
    <w:name w:val="T-11/9 sred"/>
    <w:next w:val="Normal"/>
    <w:rsid w:val="004665E0"/>
    <w:pPr>
      <w:widowControl w:val="0"/>
      <w:autoSpaceDE w:val="0"/>
      <w:autoSpaceDN w:val="0"/>
      <w:adjustRightInd w:val="0"/>
      <w:spacing w:before="128" w:after="43" w:line="240" w:lineRule="auto"/>
      <w:jc w:val="center"/>
    </w:pPr>
    <w:rPr>
      <w:rFonts w:ascii="Times-NewRoman" w:eastAsia="Times New Roman" w:hAnsi="Times-NewRoman" w:cs="Times New Roman"/>
      <w:sz w:val="23"/>
      <w:szCs w:val="23"/>
      <w:lang w:eastAsia="hr-HR"/>
    </w:rPr>
  </w:style>
  <w:style w:type="paragraph" w:customStyle="1" w:styleId="Tekstbalonia1">
    <w:name w:val="Tekst balončića1"/>
    <w:basedOn w:val="Normal"/>
    <w:semiHidden/>
    <w:rsid w:val="004665E0"/>
    <w:pPr>
      <w:spacing w:after="0" w:line="240" w:lineRule="auto"/>
    </w:pPr>
    <w:rPr>
      <w:rFonts w:ascii="Tahoma" w:eastAsia="Times New Roman" w:hAnsi="Tahoma" w:cs="Tahoma"/>
      <w:sz w:val="16"/>
      <w:szCs w:val="16"/>
      <w:lang w:eastAsia="hr-HR"/>
    </w:rPr>
  </w:style>
  <w:style w:type="paragraph" w:customStyle="1" w:styleId="Headfoot">
    <w:name w:val="Head&amp;foot"/>
    <w:basedOn w:val="Normal"/>
    <w:semiHidden/>
    <w:rsid w:val="004665E0"/>
    <w:pPr>
      <w:tabs>
        <w:tab w:val="left" w:pos="6237"/>
      </w:tabs>
      <w:spacing w:after="0" w:line="300" w:lineRule="exact"/>
      <w:jc w:val="both"/>
    </w:pPr>
    <w:rPr>
      <w:rFonts w:ascii="Arial" w:eastAsia="Times New Roman" w:hAnsi="Arial" w:cs="Times New Roman"/>
      <w:sz w:val="24"/>
      <w:szCs w:val="20"/>
      <w:lang w:val="el-GR"/>
    </w:rPr>
  </w:style>
  <w:style w:type="paragraph" w:customStyle="1" w:styleId="MER-paragraphChar1CharChar">
    <w:name w:val="MER - paragraph Char1 Char Char"/>
    <w:basedOn w:val="Normal"/>
    <w:rsid w:val="004665E0"/>
    <w:pPr>
      <w:tabs>
        <w:tab w:val="num" w:pos="360"/>
      </w:tabs>
      <w:spacing w:after="0" w:line="240" w:lineRule="auto"/>
      <w:ind w:left="360" w:hanging="360"/>
      <w:jc w:val="both"/>
    </w:pPr>
    <w:rPr>
      <w:rFonts w:ascii="Times New Roman" w:eastAsia="Times New Roman" w:hAnsi="Times New Roman" w:cs="Times New Roman"/>
      <w:lang w:val="en-GB" w:eastAsia="zh-CN"/>
    </w:rPr>
  </w:style>
  <w:style w:type="paragraph" w:customStyle="1" w:styleId="CharChar1CharCharCharCharCharChar">
    <w:name w:val="Char Char1 Char Char Char Char Char Char"/>
    <w:basedOn w:val="Normal"/>
    <w:rsid w:val="004665E0"/>
    <w:pPr>
      <w:spacing w:line="240" w:lineRule="exact"/>
    </w:pPr>
    <w:rPr>
      <w:rFonts w:ascii="Tahoma" w:eastAsia="Times New Roman" w:hAnsi="Tahoma" w:cs="Times New Roman"/>
      <w:sz w:val="20"/>
      <w:szCs w:val="20"/>
      <w:lang w:val="en-US"/>
    </w:rPr>
  </w:style>
  <w:style w:type="paragraph" w:customStyle="1" w:styleId="Odlomakpopisa1">
    <w:name w:val="Odlomak popisa1"/>
    <w:basedOn w:val="Normal"/>
    <w:qFormat/>
    <w:rsid w:val="004665E0"/>
    <w:pPr>
      <w:spacing w:after="0" w:line="240" w:lineRule="auto"/>
      <w:ind w:left="720"/>
    </w:pPr>
    <w:rPr>
      <w:rFonts w:ascii="Arial" w:eastAsia="Calibri" w:hAnsi="Arial" w:cs="Times New Roman"/>
    </w:rPr>
  </w:style>
  <w:style w:type="paragraph" w:styleId="Opisslike">
    <w:name w:val="caption"/>
    <w:basedOn w:val="Normal"/>
    <w:next w:val="Normal"/>
    <w:uiPriority w:val="35"/>
    <w:qFormat/>
    <w:rsid w:val="004665E0"/>
    <w:pPr>
      <w:spacing w:after="0" w:line="240" w:lineRule="auto"/>
    </w:pPr>
    <w:rPr>
      <w:rFonts w:ascii="Arial" w:eastAsia="Calibri" w:hAnsi="Arial" w:cs="Arial"/>
      <w:b/>
      <w:i/>
      <w:iCs/>
      <w:noProof/>
      <w:szCs w:val="20"/>
      <w:lang w:eastAsia="hr-HR"/>
    </w:rPr>
  </w:style>
  <w:style w:type="character" w:styleId="SlijeenaHiperveza">
    <w:name w:val="FollowedHyperlink"/>
    <w:rsid w:val="004665E0"/>
    <w:rPr>
      <w:color w:val="800080"/>
      <w:u w:val="single"/>
    </w:rPr>
  </w:style>
  <w:style w:type="paragraph" w:styleId="Tekstkrajnjebiljeke">
    <w:name w:val="endnote text"/>
    <w:basedOn w:val="Normal"/>
    <w:link w:val="TekstkrajnjebiljekeChar"/>
    <w:semiHidden/>
    <w:rsid w:val="004665E0"/>
    <w:pPr>
      <w:spacing w:after="0" w:line="240" w:lineRule="auto"/>
    </w:pPr>
    <w:rPr>
      <w:rFonts w:ascii="Calibri" w:eastAsia="Calibri" w:hAnsi="Calibri" w:cs="Times New Roman"/>
      <w:b/>
      <w:sz w:val="20"/>
      <w:szCs w:val="20"/>
    </w:rPr>
  </w:style>
  <w:style w:type="character" w:customStyle="1" w:styleId="TekstkrajnjebiljekeChar">
    <w:name w:val="Tekst krajnje bilješke Char"/>
    <w:basedOn w:val="Zadanifontodlomka"/>
    <w:link w:val="Tekstkrajnjebiljeke"/>
    <w:semiHidden/>
    <w:rsid w:val="004665E0"/>
    <w:rPr>
      <w:rFonts w:ascii="Calibri" w:eastAsia="Calibri" w:hAnsi="Calibri" w:cs="Times New Roman"/>
      <w:b/>
      <w:sz w:val="20"/>
      <w:szCs w:val="20"/>
    </w:rPr>
  </w:style>
  <w:style w:type="character" w:styleId="Naglaeno">
    <w:name w:val="Strong"/>
    <w:uiPriority w:val="22"/>
    <w:qFormat/>
    <w:rsid w:val="004665E0"/>
    <w:rPr>
      <w:b/>
      <w:bCs/>
    </w:rPr>
  </w:style>
  <w:style w:type="paragraph" w:customStyle="1" w:styleId="xl53">
    <w:name w:val="xl53"/>
    <w:basedOn w:val="Normal"/>
    <w:rsid w:val="004665E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Times New Roman" w:hAnsi="Times New Roman" w:cs="Arial Unicode MS"/>
      <w:sz w:val="24"/>
      <w:szCs w:val="24"/>
      <w:lang w:eastAsia="hr-HR"/>
    </w:rPr>
  </w:style>
  <w:style w:type="character" w:styleId="Brojstranice">
    <w:name w:val="page number"/>
    <w:basedOn w:val="Zadanifontodlomka"/>
    <w:rsid w:val="004665E0"/>
  </w:style>
  <w:style w:type="paragraph" w:customStyle="1" w:styleId="CharChar1CharCharCharCharCharChar1CharChar">
    <w:name w:val="Char Char1 Char Char Char Char Char Char1 Char Char"/>
    <w:basedOn w:val="Normal"/>
    <w:rsid w:val="004665E0"/>
    <w:pPr>
      <w:spacing w:line="240" w:lineRule="exact"/>
    </w:pPr>
    <w:rPr>
      <w:rFonts w:ascii="Tahoma" w:eastAsia="Times New Roman" w:hAnsi="Tahoma" w:cs="Times New Roman"/>
      <w:sz w:val="20"/>
      <w:szCs w:val="20"/>
      <w:lang w:val="en-US"/>
    </w:rPr>
  </w:style>
  <w:style w:type="character" w:styleId="Referencakomentara">
    <w:name w:val="annotation reference"/>
    <w:uiPriority w:val="99"/>
    <w:semiHidden/>
    <w:rsid w:val="004665E0"/>
    <w:rPr>
      <w:sz w:val="16"/>
      <w:szCs w:val="16"/>
    </w:rPr>
  </w:style>
  <w:style w:type="table" w:styleId="Reetkatablice">
    <w:name w:val="Table Grid"/>
    <w:basedOn w:val="Obinatablica"/>
    <w:uiPriority w:val="39"/>
    <w:rsid w:val="004665E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
    <w:name w:val="Char Char Char Char Char Char Char Char Char Char Char1"/>
    <w:basedOn w:val="Normal"/>
    <w:rsid w:val="004665E0"/>
    <w:pPr>
      <w:spacing w:line="240" w:lineRule="exact"/>
    </w:pPr>
    <w:rPr>
      <w:rFonts w:ascii="Tahoma" w:eastAsia="Times New Roman" w:hAnsi="Tahoma" w:cs="Times New Roman"/>
      <w:sz w:val="20"/>
      <w:szCs w:val="20"/>
      <w:lang w:val="en-US"/>
    </w:rPr>
  </w:style>
  <w:style w:type="paragraph" w:customStyle="1" w:styleId="CharCharCharCharCharCharCharCharCharCharChar">
    <w:name w:val="Char Char Char Char Char Char Char Char Char Char Char"/>
    <w:basedOn w:val="Normal"/>
    <w:rsid w:val="004665E0"/>
    <w:pPr>
      <w:spacing w:line="240" w:lineRule="exact"/>
    </w:pPr>
    <w:rPr>
      <w:rFonts w:ascii="Tahoma" w:eastAsia="Times New Roman" w:hAnsi="Tahoma" w:cs="Times New Roman"/>
      <w:sz w:val="20"/>
      <w:szCs w:val="20"/>
      <w:lang w:val="en-US"/>
    </w:rPr>
  </w:style>
  <w:style w:type="paragraph" w:customStyle="1" w:styleId="CharCharCharCharCharCharCharCharCharCharChar1CharCharChar">
    <w:name w:val="Char Char Char Char Char Char Char Char Char Char Char1 Char Char Char"/>
    <w:basedOn w:val="Normal"/>
    <w:rsid w:val="004665E0"/>
    <w:pPr>
      <w:spacing w:line="240" w:lineRule="exact"/>
    </w:pPr>
    <w:rPr>
      <w:rFonts w:ascii="Tahoma" w:eastAsia="Times New Roman" w:hAnsi="Tahoma" w:cs="Times New Roman"/>
      <w:sz w:val="20"/>
      <w:szCs w:val="20"/>
      <w:lang w:val="en-US"/>
    </w:rPr>
  </w:style>
  <w:style w:type="paragraph" w:customStyle="1" w:styleId="Default">
    <w:name w:val="Default"/>
    <w:rsid w:val="004665E0"/>
    <w:pPr>
      <w:autoSpaceDE w:val="0"/>
      <w:autoSpaceDN w:val="0"/>
      <w:adjustRightInd w:val="0"/>
      <w:spacing w:after="0" w:line="240" w:lineRule="auto"/>
    </w:pPr>
    <w:rPr>
      <w:rFonts w:ascii="Arial" w:eastAsia="Calibri" w:hAnsi="Arial" w:cs="Arial"/>
      <w:color w:val="000000"/>
      <w:sz w:val="24"/>
      <w:szCs w:val="24"/>
      <w:lang w:eastAsia="hr-HR"/>
    </w:rPr>
  </w:style>
  <w:style w:type="paragraph" w:customStyle="1" w:styleId="CharCharCharCharCharCharCharCharCharCharCharCharCharChar">
    <w:name w:val="Char Char Char Char Char Char Char Char Char Char Char Char Char Char"/>
    <w:basedOn w:val="Normal"/>
    <w:rsid w:val="004665E0"/>
    <w:pPr>
      <w:spacing w:line="240" w:lineRule="exact"/>
    </w:pPr>
    <w:rPr>
      <w:rFonts w:ascii="Tahoma" w:eastAsia="Times New Roman" w:hAnsi="Tahoma" w:cs="Times New Roman"/>
      <w:sz w:val="20"/>
      <w:szCs w:val="20"/>
      <w:lang w:val="en-US"/>
    </w:rPr>
  </w:style>
  <w:style w:type="paragraph" w:customStyle="1" w:styleId="CharCharCharCharCharCharCharCharCharCharCharCharCharCharCharCharCharCharCharCharCharCharCharCharCharCharCharChar1CharCharCharCharCharChar">
    <w:name w:val="Char Char Char Char Char Char Char Char Char Char Char Char Char Char Char Char Char Char Char Char Char Char Char Char Char Char Char Char1 Char Char Char Char Char Char"/>
    <w:basedOn w:val="Normal"/>
    <w:autoRedefine/>
    <w:rsid w:val="004665E0"/>
    <w:pPr>
      <w:spacing w:line="240" w:lineRule="exact"/>
    </w:pPr>
    <w:rPr>
      <w:rFonts w:ascii="Life L2" w:eastAsia="Times New Roman" w:hAnsi="Life L2" w:cs="Life L2"/>
      <w:lang w:val="en-GB"/>
    </w:rPr>
  </w:style>
  <w:style w:type="paragraph" w:customStyle="1" w:styleId="CharCharCharCharCharCharCharCharCharCharCharCharCharCharCharChar">
    <w:name w:val="Char Char Char Char Char Char Char Char Char Char Char Char Char Char Char Char"/>
    <w:basedOn w:val="Normal"/>
    <w:autoRedefine/>
    <w:rsid w:val="004665E0"/>
    <w:pPr>
      <w:spacing w:line="240" w:lineRule="exact"/>
    </w:pPr>
    <w:rPr>
      <w:rFonts w:ascii="Life L2" w:eastAsia="Times New Roman" w:hAnsi="Life L2" w:cs="Life L2"/>
      <w:lang w:val="en-GB"/>
    </w:rPr>
  </w:style>
  <w:style w:type="paragraph" w:customStyle="1" w:styleId="CharCharCharCharCharCharCharCharCharCharCharCharChar">
    <w:name w:val="Char Char Char Char Char Char Char Char Char Char Char Char Char"/>
    <w:basedOn w:val="Normal"/>
    <w:autoRedefine/>
    <w:rsid w:val="004665E0"/>
    <w:pPr>
      <w:spacing w:line="240" w:lineRule="exact"/>
    </w:pPr>
    <w:rPr>
      <w:rFonts w:ascii="Life L2" w:eastAsia="Times New Roman" w:hAnsi="Life L2" w:cs="Life L2"/>
      <w:lang w:val="en-GB"/>
    </w:rPr>
  </w:style>
  <w:style w:type="character" w:customStyle="1" w:styleId="shorttext">
    <w:name w:val="short_text"/>
    <w:basedOn w:val="Zadanifontodlomka"/>
    <w:rsid w:val="004665E0"/>
  </w:style>
  <w:style w:type="paragraph" w:customStyle="1" w:styleId="CharCharCharCharCharCharCharCharCharCharCharCharCharCharCharChar1CharCharCharCharCharChar">
    <w:name w:val="Char Char Char Char Char Char Char Char Char Char Char Char Char Char Char Char1 Char Char Char Char Char Char"/>
    <w:basedOn w:val="Normal"/>
    <w:rsid w:val="004665E0"/>
    <w:pPr>
      <w:spacing w:line="240" w:lineRule="exact"/>
    </w:pPr>
    <w:rPr>
      <w:rFonts w:ascii="Tahoma" w:eastAsia="Times New Roman" w:hAnsi="Tahoma" w:cs="Times New Roman"/>
      <w:sz w:val="20"/>
      <w:szCs w:val="20"/>
      <w:lang w:val="en-US"/>
    </w:rPr>
  </w:style>
  <w:style w:type="paragraph" w:customStyle="1" w:styleId="CharCharCharCharCharCharCharCharCharCharCharCharCharCharCharChar1CharCharCharCharChar">
    <w:name w:val="Char Char Char Char Char Char Char Char Char Char Char Char Char Char Char Char1 Char Char Char Char Char"/>
    <w:basedOn w:val="Normal"/>
    <w:rsid w:val="004665E0"/>
    <w:pPr>
      <w:spacing w:line="240" w:lineRule="exact"/>
    </w:pPr>
    <w:rPr>
      <w:rFonts w:ascii="Tahoma" w:eastAsia="Times New Roman" w:hAnsi="Tahoma" w:cs="Times New Roman"/>
      <w:sz w:val="20"/>
      <w:szCs w:val="20"/>
      <w:lang w:val="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autoRedefine/>
    <w:rsid w:val="004665E0"/>
    <w:pPr>
      <w:spacing w:line="240" w:lineRule="exact"/>
    </w:pPr>
    <w:rPr>
      <w:rFonts w:ascii="Life L2" w:eastAsia="Times New Roman" w:hAnsi="Life L2" w:cs="Life L2"/>
      <w:lang w:val="en-GB"/>
    </w:rPr>
  </w:style>
  <w:style w:type="paragraph" w:customStyle="1" w:styleId="CharCharCharCharChar">
    <w:name w:val="Char Char Char Char Char"/>
    <w:basedOn w:val="Normal"/>
    <w:rsid w:val="004665E0"/>
    <w:pPr>
      <w:spacing w:line="240" w:lineRule="exact"/>
    </w:pPr>
    <w:rPr>
      <w:rFonts w:ascii="Tahoma" w:eastAsia="Times New Roman" w:hAnsi="Tahoma" w:cs="Times New Roman"/>
      <w:sz w:val="20"/>
      <w:szCs w:val="20"/>
      <w:lang w:val="en-US"/>
    </w:rPr>
  </w:style>
  <w:style w:type="paragraph" w:customStyle="1" w:styleId="CharCharCharCharCharCharCharChar">
    <w:name w:val="Char Char Char Char Char Char Char Char"/>
    <w:basedOn w:val="Normal"/>
    <w:rsid w:val="004665E0"/>
    <w:pPr>
      <w:spacing w:line="240" w:lineRule="exact"/>
    </w:pPr>
    <w:rPr>
      <w:rFonts w:ascii="Tahoma" w:eastAsia="Times New Roman" w:hAnsi="Tahoma" w:cs="Times New Roman"/>
      <w:sz w:val="20"/>
      <w:szCs w:val="20"/>
      <w:lang w:val="en-US"/>
    </w:rPr>
  </w:style>
  <w:style w:type="paragraph" w:customStyle="1" w:styleId="CharChar1">
    <w:name w:val="Char Char1"/>
    <w:basedOn w:val="Normal"/>
    <w:rsid w:val="004665E0"/>
    <w:pPr>
      <w:spacing w:line="240" w:lineRule="exact"/>
    </w:pPr>
    <w:rPr>
      <w:rFonts w:ascii="Tahoma" w:eastAsia="Times New Roman" w:hAnsi="Tahoma" w:cs="Times New Roman"/>
      <w:sz w:val="20"/>
      <w:szCs w:val="20"/>
      <w:lang w:val="en-US"/>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autoRedefine/>
    <w:rsid w:val="004665E0"/>
    <w:pPr>
      <w:spacing w:line="240" w:lineRule="exact"/>
    </w:pPr>
    <w:rPr>
      <w:rFonts w:ascii="Life L2" w:eastAsia="Times New Roman" w:hAnsi="Life L2" w:cs="Life L2"/>
      <w:lang w:val="en-GB"/>
    </w:rPr>
  </w:style>
  <w:style w:type="paragraph" w:customStyle="1" w:styleId="CharCharCharCharCharCharCharCharCharCharCharCharCharCharCharCharCharCharChar">
    <w:name w:val="Char Char Char Char Char Char Char Char Char Char Char Char Char Char Char Char Char Char Char"/>
    <w:basedOn w:val="Normal"/>
    <w:autoRedefine/>
    <w:rsid w:val="004665E0"/>
    <w:pPr>
      <w:spacing w:line="240" w:lineRule="exact"/>
    </w:pPr>
    <w:rPr>
      <w:rFonts w:ascii="Life L2" w:eastAsia="Times New Roman" w:hAnsi="Life L2" w:cs="Life L2"/>
      <w:lang w:val="en-GB"/>
    </w:rPr>
  </w:style>
  <w:style w:type="paragraph" w:customStyle="1" w:styleId="CharCharCharCharCharCharCharCharCharCharCharCharCharCharCharCharCharCharChar1">
    <w:name w:val="Char Char Char Char Char Char Char Char Char Char Char Char Char Char Char Char Char Char Char1"/>
    <w:basedOn w:val="Normal"/>
    <w:autoRedefine/>
    <w:rsid w:val="004665E0"/>
    <w:pPr>
      <w:spacing w:line="240" w:lineRule="exact"/>
    </w:pPr>
    <w:rPr>
      <w:rFonts w:ascii="Life L2" w:eastAsia="Times New Roman" w:hAnsi="Life L2" w:cs="Life L2"/>
      <w:lang w:val="en-GB"/>
    </w:rPr>
  </w:style>
  <w:style w:type="paragraph" w:customStyle="1" w:styleId="CharCharCharCharChar2">
    <w:name w:val="Char Char Char Char Char2"/>
    <w:basedOn w:val="Normal"/>
    <w:rsid w:val="004665E0"/>
    <w:pPr>
      <w:spacing w:line="240" w:lineRule="exact"/>
    </w:pPr>
    <w:rPr>
      <w:rFonts w:ascii="Tahoma" w:eastAsia="Times New Roman" w:hAnsi="Tahoma" w:cs="Times New Roman"/>
      <w:sz w:val="20"/>
      <w:szCs w:val="20"/>
      <w:lang w:val="en-US"/>
    </w:rPr>
  </w:style>
  <w:style w:type="paragraph" w:customStyle="1" w:styleId="CharCharCharCharCharCharCharCharCharCharCharCharCharCharCharCharCharCharChar1CharCharChar">
    <w:name w:val="Char Char Char Char Char Char Char Char Char Char Char Char Char Char Char Char Char Char Char1 Char Char Char"/>
    <w:basedOn w:val="Normal"/>
    <w:autoRedefine/>
    <w:rsid w:val="004665E0"/>
    <w:pPr>
      <w:spacing w:line="240" w:lineRule="exact"/>
    </w:pPr>
    <w:rPr>
      <w:rFonts w:ascii="Life L2" w:eastAsia="Times New Roman" w:hAnsi="Life L2" w:cs="Life L2"/>
      <w:lang w:val="en-GB"/>
    </w:rPr>
  </w:style>
  <w:style w:type="paragraph" w:customStyle="1" w:styleId="CharChar2">
    <w:name w:val="Char Char2"/>
    <w:basedOn w:val="Normal"/>
    <w:rsid w:val="004665E0"/>
    <w:pPr>
      <w:spacing w:line="240" w:lineRule="exact"/>
    </w:pPr>
    <w:rPr>
      <w:rFonts w:ascii="Tahoma" w:eastAsia="Times New Roman" w:hAnsi="Tahoma" w:cs="Times New Roman"/>
      <w:sz w:val="20"/>
      <w:szCs w:val="20"/>
      <w:lang w:val="en-US"/>
    </w:rPr>
  </w:style>
  <w:style w:type="paragraph" w:customStyle="1" w:styleId="CharCharCharCharCharCharCharCharCharCharCharCharCharCharCharCharCharCharCharCharCharCharCharCharCharCharCharChar1CharCharChar">
    <w:name w:val="Char Char Char Char Char Char Char Char Char Char Char Char Char Char Char Char Char Char Char Char Char Char Char Char Char Char Char Char1 Char Char Char"/>
    <w:basedOn w:val="Normal"/>
    <w:autoRedefine/>
    <w:rsid w:val="004665E0"/>
    <w:pPr>
      <w:spacing w:line="240" w:lineRule="exact"/>
    </w:pPr>
    <w:rPr>
      <w:rFonts w:ascii="Life L2" w:eastAsia="Times New Roman" w:hAnsi="Life L2" w:cs="Life L2"/>
      <w:lang w:val="en-GB"/>
    </w:rPr>
  </w:style>
  <w:style w:type="paragraph" w:styleId="Bezproreda">
    <w:name w:val="No Spacing"/>
    <w:uiPriority w:val="1"/>
    <w:qFormat/>
    <w:rsid w:val="004665E0"/>
    <w:pPr>
      <w:spacing w:after="0" w:line="240" w:lineRule="auto"/>
    </w:pPr>
    <w:rPr>
      <w:rFonts w:ascii="Calibri" w:eastAsia="Times New Roman" w:hAnsi="Calibri" w:cs="Calibri"/>
      <w:lang w:val="en-US"/>
    </w:rPr>
  </w:style>
  <w:style w:type="paragraph" w:styleId="Odlomakpopisa">
    <w:name w:val="List Paragraph"/>
    <w:basedOn w:val="Normal"/>
    <w:link w:val="OdlomakpopisaChar"/>
    <w:uiPriority w:val="34"/>
    <w:qFormat/>
    <w:rsid w:val="004665E0"/>
    <w:pPr>
      <w:spacing w:after="0" w:line="240" w:lineRule="auto"/>
      <w:ind w:left="720"/>
      <w:contextualSpacing/>
    </w:pPr>
    <w:rPr>
      <w:rFonts w:ascii="Calibri" w:eastAsia="Calibri" w:hAnsi="Calibri" w:cs="Times New Roman"/>
      <w:b/>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Normal"/>
    <w:autoRedefine/>
    <w:rsid w:val="004665E0"/>
    <w:pPr>
      <w:spacing w:line="240" w:lineRule="exact"/>
    </w:pPr>
    <w:rPr>
      <w:rFonts w:ascii="Life L2" w:eastAsia="Times New Roman" w:hAnsi="Life L2" w:cs="Life L2"/>
      <w:lang w:val="en-GB"/>
    </w:rPr>
  </w:style>
  <w:style w:type="paragraph" w:customStyle="1" w:styleId="Bezproreda2">
    <w:name w:val="Bez proreda2"/>
    <w:qFormat/>
    <w:rsid w:val="004665E0"/>
    <w:pPr>
      <w:spacing w:after="0" w:line="240" w:lineRule="auto"/>
    </w:pPr>
    <w:rPr>
      <w:rFonts w:ascii="Calibri" w:eastAsia="Times New Roman" w:hAnsi="Calibri" w:cs="Calibri"/>
      <w:lang w:val="en-US"/>
    </w:rPr>
  </w:style>
  <w:style w:type="paragraph" w:styleId="Kartadokumenta">
    <w:name w:val="Document Map"/>
    <w:basedOn w:val="Normal"/>
    <w:link w:val="KartadokumentaChar"/>
    <w:semiHidden/>
    <w:rsid w:val="004665E0"/>
    <w:pPr>
      <w:shd w:val="clear" w:color="auto" w:fill="000080"/>
      <w:spacing w:after="0" w:line="240" w:lineRule="auto"/>
    </w:pPr>
    <w:rPr>
      <w:rFonts w:ascii="Tahoma" w:eastAsia="Calibri" w:hAnsi="Tahoma" w:cs="Tahoma"/>
      <w:b/>
    </w:rPr>
  </w:style>
  <w:style w:type="character" w:customStyle="1" w:styleId="KartadokumentaChar">
    <w:name w:val="Karta dokumenta Char"/>
    <w:basedOn w:val="Zadanifontodlomka"/>
    <w:link w:val="Kartadokumenta"/>
    <w:semiHidden/>
    <w:rsid w:val="004665E0"/>
    <w:rPr>
      <w:rFonts w:ascii="Tahoma" w:eastAsia="Calibri" w:hAnsi="Tahoma" w:cs="Tahoma"/>
      <w:b/>
      <w:shd w:val="clear" w:color="auto" w:fill="000080"/>
    </w:rPr>
  </w:style>
  <w:style w:type="paragraph" w:customStyle="1" w:styleId="CharCharCharCharCharCharCharCharCharCharCharCharCharCharCharCharCharCharCharCharCharCharCharCharCharCharCharChar1CharChar1">
    <w:name w:val="Char Char Char Char Char Char Char Char Char Char Char Char Char Char Char Char Char Char Char Char Char Char Char Char Char Char Char Char1 Char Char1"/>
    <w:basedOn w:val="Normal"/>
    <w:autoRedefine/>
    <w:rsid w:val="004665E0"/>
    <w:pPr>
      <w:spacing w:line="240" w:lineRule="exact"/>
    </w:pPr>
    <w:rPr>
      <w:rFonts w:ascii="Life L2" w:eastAsia="Times New Roman" w:hAnsi="Life L2" w:cs="Life L2"/>
      <w:lang w:val="en-GB"/>
    </w:rPr>
  </w:style>
  <w:style w:type="paragraph" w:customStyle="1" w:styleId="CharCharCharCharCharCharCharCharCharCharCharCharCharCharCharCharCharCharCharCharCharCharCharCharCharCharCharChar1CharCharChar1">
    <w:name w:val="Char Char Char Char Char Char Char Char Char Char Char Char Char Char Char Char Char Char Char Char Char Char Char Char Char Char Char Char1 Char Char Char1"/>
    <w:basedOn w:val="Normal"/>
    <w:autoRedefine/>
    <w:rsid w:val="004665E0"/>
    <w:pPr>
      <w:spacing w:line="240" w:lineRule="exact"/>
    </w:pPr>
    <w:rPr>
      <w:rFonts w:ascii="Life L2" w:eastAsia="Times New Roman" w:hAnsi="Life L2" w:cs="Life L2"/>
      <w:lang w:val="en-GB"/>
    </w:rPr>
  </w:style>
  <w:style w:type="paragraph" w:customStyle="1" w:styleId="CharCharChar">
    <w:name w:val="Char Char Char"/>
    <w:basedOn w:val="Normal"/>
    <w:rsid w:val="004665E0"/>
    <w:pPr>
      <w:spacing w:line="240" w:lineRule="exact"/>
    </w:pPr>
    <w:rPr>
      <w:rFonts w:ascii="Tahoma" w:eastAsia="Times New Roman" w:hAnsi="Tahoma" w:cs="Times New Roman"/>
      <w:sz w:val="20"/>
      <w:szCs w:val="20"/>
    </w:rPr>
  </w:style>
  <w:style w:type="paragraph" w:customStyle="1" w:styleId="box456064">
    <w:name w:val="box_456064"/>
    <w:basedOn w:val="Normal"/>
    <w:rsid w:val="004665E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rsid w:val="004665E0"/>
  </w:style>
  <w:style w:type="paragraph" w:styleId="Predmetkomentara">
    <w:name w:val="annotation subject"/>
    <w:basedOn w:val="Tekstkomentara"/>
    <w:next w:val="Tekstkomentara"/>
    <w:link w:val="PredmetkomentaraChar"/>
    <w:uiPriority w:val="99"/>
    <w:semiHidden/>
    <w:unhideWhenUsed/>
    <w:rsid w:val="004665E0"/>
    <w:rPr>
      <w:rFonts w:ascii="Calibri" w:eastAsia="Calibri" w:hAnsi="Calibri"/>
      <w:b/>
      <w:bCs/>
      <w:lang w:eastAsia="en-US"/>
    </w:rPr>
  </w:style>
  <w:style w:type="character" w:customStyle="1" w:styleId="PredmetkomentaraChar">
    <w:name w:val="Predmet komentara Char"/>
    <w:basedOn w:val="TekstkomentaraChar"/>
    <w:link w:val="Predmetkomentara"/>
    <w:uiPriority w:val="99"/>
    <w:semiHidden/>
    <w:rsid w:val="004665E0"/>
    <w:rPr>
      <w:rFonts w:ascii="Calibri" w:eastAsia="Calibri" w:hAnsi="Calibri" w:cs="Times New Roman"/>
      <w:b/>
      <w:bCs/>
      <w:sz w:val="20"/>
      <w:szCs w:val="20"/>
      <w:lang w:eastAsia="zh-CN"/>
    </w:rPr>
  </w:style>
  <w:style w:type="paragraph" w:customStyle="1" w:styleId="box460222">
    <w:name w:val="box_460222"/>
    <w:basedOn w:val="Normal"/>
    <w:rsid w:val="004665E0"/>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harCharCharCharCharCharCharCharCharCharCharCharCharCharCharCharCharCharCharCharCharCharCharCharCharCharCharChar1Char">
    <w:name w:val="Char Char Char Char Char Char Char Char Char Char Char Char Char Char Char Char Char Char Char Char Char Char Char Char Char Char Char Char1 Char"/>
    <w:basedOn w:val="Normal"/>
    <w:autoRedefine/>
    <w:rsid w:val="004665E0"/>
    <w:pPr>
      <w:spacing w:line="240" w:lineRule="exact"/>
    </w:pPr>
    <w:rPr>
      <w:rFonts w:ascii="Life L2" w:eastAsia="Times New Roman" w:hAnsi="Life L2" w:cs="Life L2"/>
      <w:lang w:val="en-GB"/>
    </w:rPr>
  </w:style>
  <w:style w:type="character" w:customStyle="1" w:styleId="FootnoteTextChar1CharC">
    <w:name w:val="Footnote Text Char1 Char C"/>
    <w:semiHidden/>
    <w:rsid w:val="004665E0"/>
    <w:rPr>
      <w:lang w:val="hr-HR" w:eastAsia="hr-HR" w:bidi="ar-SA"/>
    </w:rPr>
  </w:style>
  <w:style w:type="table" w:customStyle="1" w:styleId="Reetkatablice1">
    <w:name w:val="Rešetka tablice1"/>
    <w:basedOn w:val="Obinatablica"/>
    <w:next w:val="Reetkatablice"/>
    <w:uiPriority w:val="59"/>
    <w:rsid w:val="004665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rajnjebiljeke">
    <w:name w:val="endnote reference"/>
    <w:uiPriority w:val="99"/>
    <w:semiHidden/>
    <w:unhideWhenUsed/>
    <w:rsid w:val="004665E0"/>
    <w:rPr>
      <w:vertAlign w:val="superscript"/>
    </w:rPr>
  </w:style>
  <w:style w:type="table" w:customStyle="1" w:styleId="Reetkatablice8">
    <w:name w:val="Rešetka tablice8"/>
    <w:basedOn w:val="Obinatablica"/>
    <w:next w:val="Reetkatablice"/>
    <w:uiPriority w:val="39"/>
    <w:rsid w:val="004665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4665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4665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39"/>
    <w:rsid w:val="004665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inatablica4">
    <w:name w:val="Plain Table 4"/>
    <w:basedOn w:val="Obinatablica"/>
    <w:uiPriority w:val="44"/>
    <w:rsid w:val="004665E0"/>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binatablica41">
    <w:name w:val="Obična tablica 41"/>
    <w:basedOn w:val="Obinatablica"/>
    <w:next w:val="Obinatablica4"/>
    <w:uiPriority w:val="44"/>
    <w:rsid w:val="004665E0"/>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binatablica42">
    <w:name w:val="Obična tablica 42"/>
    <w:basedOn w:val="Obinatablica"/>
    <w:next w:val="Obinatablica4"/>
    <w:uiPriority w:val="44"/>
    <w:rsid w:val="004665E0"/>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binatablica43">
    <w:name w:val="Obična tablica 43"/>
    <w:basedOn w:val="Obinatablica"/>
    <w:next w:val="Obinatablica4"/>
    <w:uiPriority w:val="44"/>
    <w:rsid w:val="004665E0"/>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binatablica44">
    <w:name w:val="Obična tablica 44"/>
    <w:basedOn w:val="Obinatablica"/>
    <w:next w:val="Obinatablica4"/>
    <w:uiPriority w:val="44"/>
    <w:rsid w:val="004665E0"/>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binatablica45">
    <w:name w:val="Obična tablica 45"/>
    <w:basedOn w:val="Obinatablica"/>
    <w:next w:val="Obinatablica4"/>
    <w:uiPriority w:val="44"/>
    <w:rsid w:val="004665E0"/>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binatablica46">
    <w:name w:val="Obična tablica 46"/>
    <w:basedOn w:val="Obinatablica"/>
    <w:next w:val="Obinatablica4"/>
    <w:uiPriority w:val="44"/>
    <w:rsid w:val="004665E0"/>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il1">
    <w:name w:val="Stil1"/>
    <w:rsid w:val="004665E0"/>
    <w:pPr>
      <w:numPr>
        <w:numId w:val="4"/>
      </w:numPr>
    </w:pPr>
  </w:style>
  <w:style w:type="numbering" w:customStyle="1" w:styleId="Bezpopisa2">
    <w:name w:val="Bez popisa2"/>
    <w:next w:val="Bezpopisa"/>
    <w:uiPriority w:val="99"/>
    <w:semiHidden/>
    <w:rsid w:val="004665E0"/>
  </w:style>
  <w:style w:type="paragraph" w:customStyle="1" w:styleId="Bezproreda3">
    <w:name w:val="Bez proreda3"/>
    <w:qFormat/>
    <w:rsid w:val="004665E0"/>
    <w:pPr>
      <w:spacing w:after="0" w:line="240" w:lineRule="auto"/>
    </w:pPr>
    <w:rPr>
      <w:rFonts w:ascii="Calibri" w:eastAsia="Times New Roman" w:hAnsi="Calibri" w:cs="Calibri"/>
      <w:lang w:val="en-US"/>
    </w:rPr>
  </w:style>
  <w:style w:type="paragraph" w:customStyle="1" w:styleId="Odlomakpopisa2">
    <w:name w:val="Odlomak popisa2"/>
    <w:basedOn w:val="Normal"/>
    <w:qFormat/>
    <w:rsid w:val="004665E0"/>
    <w:pPr>
      <w:spacing w:after="0" w:line="240" w:lineRule="auto"/>
      <w:ind w:left="720"/>
    </w:pPr>
    <w:rPr>
      <w:rFonts w:ascii="Arial" w:eastAsia="Calibri" w:hAnsi="Arial" w:cs="Times New Roman"/>
    </w:rPr>
  </w:style>
  <w:style w:type="table" w:customStyle="1" w:styleId="Reetkatablice5">
    <w:name w:val="Rešetka tablice5"/>
    <w:basedOn w:val="Obinatablica"/>
    <w:next w:val="Reetkatablice"/>
    <w:uiPriority w:val="39"/>
    <w:rsid w:val="004665E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4665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1">
    <w:name w:val="Rešetka tablice81"/>
    <w:basedOn w:val="Obinatablica"/>
    <w:next w:val="Reetkatablice"/>
    <w:uiPriority w:val="39"/>
    <w:rsid w:val="004665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59"/>
    <w:rsid w:val="004665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next w:val="Reetkatablice"/>
    <w:uiPriority w:val="59"/>
    <w:rsid w:val="004665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4665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47">
    <w:name w:val="Obična tablica 47"/>
    <w:basedOn w:val="Obinatablica"/>
    <w:next w:val="Obinatablica4"/>
    <w:uiPriority w:val="44"/>
    <w:rsid w:val="004665E0"/>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binatablica411">
    <w:name w:val="Obična tablica 411"/>
    <w:basedOn w:val="Obinatablica"/>
    <w:next w:val="Obinatablica4"/>
    <w:uiPriority w:val="44"/>
    <w:rsid w:val="004665E0"/>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binatablica421">
    <w:name w:val="Obična tablica 421"/>
    <w:basedOn w:val="Obinatablica"/>
    <w:next w:val="Obinatablica4"/>
    <w:uiPriority w:val="44"/>
    <w:rsid w:val="004665E0"/>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binatablica431">
    <w:name w:val="Obična tablica 431"/>
    <w:basedOn w:val="Obinatablica"/>
    <w:next w:val="Obinatablica4"/>
    <w:uiPriority w:val="44"/>
    <w:rsid w:val="004665E0"/>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binatablica441">
    <w:name w:val="Obična tablica 441"/>
    <w:basedOn w:val="Obinatablica"/>
    <w:next w:val="Obinatablica4"/>
    <w:uiPriority w:val="44"/>
    <w:rsid w:val="004665E0"/>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binatablica451">
    <w:name w:val="Obična tablica 451"/>
    <w:basedOn w:val="Obinatablica"/>
    <w:next w:val="Obinatablica4"/>
    <w:uiPriority w:val="44"/>
    <w:rsid w:val="004665E0"/>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binatablica461">
    <w:name w:val="Obična tablica 461"/>
    <w:basedOn w:val="Obinatablica"/>
    <w:next w:val="Obinatablica4"/>
    <w:uiPriority w:val="44"/>
    <w:rsid w:val="004665E0"/>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il11">
    <w:name w:val="Stil11"/>
    <w:rsid w:val="004665E0"/>
  </w:style>
  <w:style w:type="numbering" w:customStyle="1" w:styleId="Stil2">
    <w:name w:val="Stil2"/>
    <w:uiPriority w:val="99"/>
    <w:rsid w:val="004665E0"/>
    <w:pPr>
      <w:numPr>
        <w:numId w:val="6"/>
      </w:numPr>
    </w:pPr>
  </w:style>
  <w:style w:type="paragraph" w:styleId="TOCNaslov">
    <w:name w:val="TOC Heading"/>
    <w:basedOn w:val="Naslov1"/>
    <w:next w:val="Normal"/>
    <w:uiPriority w:val="39"/>
    <w:unhideWhenUsed/>
    <w:qFormat/>
    <w:rsid w:val="004665E0"/>
    <w:pPr>
      <w:keepLines/>
      <w:spacing w:before="240" w:line="259" w:lineRule="auto"/>
      <w:jc w:val="left"/>
      <w:outlineLvl w:val="9"/>
    </w:pPr>
    <w:rPr>
      <w:rFonts w:asciiTheme="majorHAnsi" w:eastAsiaTheme="majorEastAsia" w:hAnsiTheme="majorHAnsi" w:cstheme="majorBidi"/>
      <w:b w:val="0"/>
      <w:noProof w:val="0"/>
      <w:color w:val="2E74B5" w:themeColor="accent1" w:themeShade="BF"/>
      <w:sz w:val="32"/>
      <w:szCs w:val="32"/>
    </w:rPr>
  </w:style>
  <w:style w:type="paragraph" w:styleId="Sadraj2">
    <w:name w:val="toc 2"/>
    <w:basedOn w:val="Normal"/>
    <w:next w:val="Normal"/>
    <w:autoRedefine/>
    <w:uiPriority w:val="39"/>
    <w:unhideWhenUsed/>
    <w:rsid w:val="004665E0"/>
    <w:pPr>
      <w:spacing w:after="0"/>
      <w:ind w:left="220"/>
    </w:pPr>
    <w:rPr>
      <w:smallCaps/>
      <w:sz w:val="20"/>
      <w:szCs w:val="20"/>
    </w:rPr>
  </w:style>
  <w:style w:type="paragraph" w:styleId="Sadraj3">
    <w:name w:val="toc 3"/>
    <w:basedOn w:val="Normal"/>
    <w:next w:val="Normal"/>
    <w:autoRedefine/>
    <w:uiPriority w:val="39"/>
    <w:unhideWhenUsed/>
    <w:rsid w:val="004665E0"/>
    <w:pPr>
      <w:spacing w:after="0"/>
      <w:ind w:left="440"/>
    </w:pPr>
    <w:rPr>
      <w:i/>
      <w:iCs/>
      <w:sz w:val="20"/>
      <w:szCs w:val="20"/>
    </w:rPr>
  </w:style>
  <w:style w:type="paragraph" w:styleId="Sadraj1">
    <w:name w:val="toc 1"/>
    <w:basedOn w:val="Normal"/>
    <w:next w:val="Normal"/>
    <w:autoRedefine/>
    <w:uiPriority w:val="39"/>
    <w:unhideWhenUsed/>
    <w:rsid w:val="00990AEE"/>
    <w:pPr>
      <w:spacing w:before="120" w:after="120"/>
    </w:pPr>
    <w:rPr>
      <w:rFonts w:ascii="Times New Roman" w:hAnsi="Times New Roman"/>
      <w:b/>
      <w:bCs/>
      <w:caps/>
      <w:sz w:val="24"/>
      <w:szCs w:val="20"/>
    </w:rPr>
  </w:style>
  <w:style w:type="paragraph" w:styleId="Sadraj4">
    <w:name w:val="toc 4"/>
    <w:basedOn w:val="Normal"/>
    <w:next w:val="Normal"/>
    <w:autoRedefine/>
    <w:uiPriority w:val="39"/>
    <w:unhideWhenUsed/>
    <w:rsid w:val="004665E0"/>
    <w:pPr>
      <w:spacing w:after="0"/>
      <w:ind w:left="660"/>
    </w:pPr>
    <w:rPr>
      <w:sz w:val="18"/>
      <w:szCs w:val="18"/>
    </w:rPr>
  </w:style>
  <w:style w:type="paragraph" w:styleId="Sadraj5">
    <w:name w:val="toc 5"/>
    <w:basedOn w:val="Normal"/>
    <w:next w:val="Normal"/>
    <w:autoRedefine/>
    <w:uiPriority w:val="39"/>
    <w:unhideWhenUsed/>
    <w:rsid w:val="004665E0"/>
    <w:pPr>
      <w:spacing w:after="0"/>
      <w:ind w:left="880"/>
    </w:pPr>
    <w:rPr>
      <w:sz w:val="18"/>
      <w:szCs w:val="18"/>
    </w:rPr>
  </w:style>
  <w:style w:type="paragraph" w:styleId="Sadraj6">
    <w:name w:val="toc 6"/>
    <w:basedOn w:val="Normal"/>
    <w:next w:val="Normal"/>
    <w:autoRedefine/>
    <w:uiPriority w:val="39"/>
    <w:unhideWhenUsed/>
    <w:rsid w:val="004665E0"/>
    <w:pPr>
      <w:spacing w:after="0"/>
      <w:ind w:left="1100"/>
    </w:pPr>
    <w:rPr>
      <w:sz w:val="18"/>
      <w:szCs w:val="18"/>
    </w:rPr>
  </w:style>
  <w:style w:type="paragraph" w:styleId="Sadraj7">
    <w:name w:val="toc 7"/>
    <w:basedOn w:val="Normal"/>
    <w:next w:val="Normal"/>
    <w:autoRedefine/>
    <w:uiPriority w:val="39"/>
    <w:unhideWhenUsed/>
    <w:rsid w:val="004665E0"/>
    <w:pPr>
      <w:spacing w:after="0"/>
      <w:ind w:left="1320"/>
    </w:pPr>
    <w:rPr>
      <w:sz w:val="18"/>
      <w:szCs w:val="18"/>
    </w:rPr>
  </w:style>
  <w:style w:type="paragraph" w:styleId="Sadraj8">
    <w:name w:val="toc 8"/>
    <w:basedOn w:val="Normal"/>
    <w:next w:val="Normal"/>
    <w:autoRedefine/>
    <w:uiPriority w:val="39"/>
    <w:unhideWhenUsed/>
    <w:rsid w:val="004665E0"/>
    <w:pPr>
      <w:spacing w:after="0"/>
      <w:ind w:left="1540"/>
    </w:pPr>
    <w:rPr>
      <w:sz w:val="18"/>
      <w:szCs w:val="18"/>
    </w:rPr>
  </w:style>
  <w:style w:type="paragraph" w:styleId="Sadraj9">
    <w:name w:val="toc 9"/>
    <w:basedOn w:val="Normal"/>
    <w:next w:val="Normal"/>
    <w:autoRedefine/>
    <w:uiPriority w:val="39"/>
    <w:unhideWhenUsed/>
    <w:rsid w:val="004665E0"/>
    <w:pPr>
      <w:spacing w:after="0"/>
      <w:ind w:left="1760"/>
    </w:pPr>
    <w:rPr>
      <w:sz w:val="18"/>
      <w:szCs w:val="18"/>
    </w:rPr>
  </w:style>
  <w:style w:type="table" w:customStyle="1" w:styleId="Reetkatablice6">
    <w:name w:val="Rešetka tablice6"/>
    <w:basedOn w:val="Obinatablica"/>
    <w:next w:val="Reetkatablice"/>
    <w:uiPriority w:val="39"/>
    <w:rsid w:val="00466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4665E0"/>
    <w:pPr>
      <w:spacing w:after="0" w:line="240" w:lineRule="auto"/>
    </w:pPr>
  </w:style>
  <w:style w:type="table" w:styleId="Obinatablica1">
    <w:name w:val="Plain Table 1"/>
    <w:basedOn w:val="Obinatablica"/>
    <w:uiPriority w:val="41"/>
    <w:rsid w:val="004665E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ivopisnatablicareetke6-isticanje3">
    <w:name w:val="Grid Table 6 Colorful Accent 3"/>
    <w:basedOn w:val="Obinatablica"/>
    <w:uiPriority w:val="51"/>
    <w:rsid w:val="004665E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Reetkatablice7">
    <w:name w:val="Rešetka tablice7"/>
    <w:basedOn w:val="Obinatablica"/>
    <w:next w:val="Reetkatablice"/>
    <w:uiPriority w:val="39"/>
    <w:rsid w:val="00466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8029">
    <w:name w:val="box_468029"/>
    <w:basedOn w:val="Normal"/>
    <w:rsid w:val="004665E0"/>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Svijetlatablicapopisa1">
    <w:name w:val="List Table 1 Light"/>
    <w:basedOn w:val="Obinatablica"/>
    <w:uiPriority w:val="46"/>
    <w:rsid w:val="004C08E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etkatablice9">
    <w:name w:val="Rešetka tablice9"/>
    <w:basedOn w:val="Obinatablica"/>
    <w:next w:val="Reetkatablice"/>
    <w:uiPriority w:val="39"/>
    <w:rsid w:val="00B303F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
    <w:name w:val="Rešetka tablice61"/>
    <w:basedOn w:val="Obinatablica"/>
    <w:next w:val="Reetkatablice"/>
    <w:uiPriority w:val="39"/>
    <w:rsid w:val="00A4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Isticanje5">
    <w:name w:val="Light Shading Accent 5"/>
    <w:basedOn w:val="Obinatablica"/>
    <w:uiPriority w:val="60"/>
    <w:rsid w:val="00F71E3B"/>
    <w:pPr>
      <w:spacing w:after="0" w:line="240" w:lineRule="auto"/>
    </w:pPr>
    <w:rPr>
      <w:rFonts w:eastAsiaTheme="minorEastAsia"/>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Reetkatablice10">
    <w:name w:val="Rešetka tablice10"/>
    <w:basedOn w:val="Obinatablica"/>
    <w:next w:val="Reetkatablice"/>
    <w:uiPriority w:val="39"/>
    <w:rsid w:val="00F71E3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34"/>
    <w:locked/>
    <w:rsid w:val="00F71E3B"/>
    <w:rPr>
      <w:rFonts w:ascii="Calibri" w:eastAsia="Calibri" w:hAnsi="Calibri" w:cs="Times New Roman"/>
      <w:b/>
    </w:rPr>
  </w:style>
  <w:style w:type="paragraph" w:styleId="Naslov">
    <w:name w:val="Title"/>
    <w:basedOn w:val="Normal"/>
    <w:next w:val="Normal"/>
    <w:link w:val="NaslovChar"/>
    <w:uiPriority w:val="10"/>
    <w:qFormat/>
    <w:rsid w:val="00F71E3B"/>
    <w:pPr>
      <w:spacing w:after="0" w:line="240" w:lineRule="auto"/>
      <w:contextualSpacing/>
    </w:pPr>
    <w:rPr>
      <w:rFonts w:asciiTheme="majorHAnsi" w:eastAsiaTheme="majorEastAsia" w:hAnsiTheme="majorHAnsi" w:cstheme="majorBidi"/>
      <w:spacing w:val="-10"/>
      <w:sz w:val="56"/>
      <w:szCs w:val="56"/>
    </w:rPr>
  </w:style>
  <w:style w:type="character" w:customStyle="1" w:styleId="NaslovChar">
    <w:name w:val="Naslov Char"/>
    <w:basedOn w:val="Zadanifontodlomka"/>
    <w:link w:val="Naslov"/>
    <w:uiPriority w:val="10"/>
    <w:rsid w:val="00F71E3B"/>
    <w:rPr>
      <w:rFonts w:asciiTheme="majorHAnsi" w:eastAsiaTheme="majorEastAsia" w:hAnsiTheme="majorHAnsi" w:cstheme="majorBidi"/>
      <w:spacing w:val="-10"/>
      <w:sz w:val="56"/>
      <w:szCs w:val="56"/>
    </w:rPr>
  </w:style>
  <w:style w:type="character" w:styleId="Istaknuto">
    <w:name w:val="Emphasis"/>
    <w:basedOn w:val="Zadanifontodlomka"/>
    <w:uiPriority w:val="20"/>
    <w:qFormat/>
    <w:rsid w:val="00F71E3B"/>
    <w:rPr>
      <w:i/>
      <w:iCs/>
      <w:color w:val="auto"/>
    </w:rPr>
  </w:style>
  <w:style w:type="paragraph" w:styleId="Citat">
    <w:name w:val="Quote"/>
    <w:basedOn w:val="Normal"/>
    <w:next w:val="Normal"/>
    <w:link w:val="CitatChar"/>
    <w:uiPriority w:val="29"/>
    <w:qFormat/>
    <w:rsid w:val="00F71E3B"/>
    <w:pPr>
      <w:spacing w:before="200"/>
      <w:ind w:left="864" w:right="864"/>
    </w:pPr>
    <w:rPr>
      <w:rFonts w:eastAsiaTheme="minorEastAsia"/>
      <w:i/>
      <w:iCs/>
      <w:color w:val="404040" w:themeColor="text1" w:themeTint="BF"/>
    </w:rPr>
  </w:style>
  <w:style w:type="character" w:customStyle="1" w:styleId="CitatChar">
    <w:name w:val="Citat Char"/>
    <w:basedOn w:val="Zadanifontodlomka"/>
    <w:link w:val="Citat"/>
    <w:uiPriority w:val="29"/>
    <w:rsid w:val="00F71E3B"/>
    <w:rPr>
      <w:rFonts w:eastAsiaTheme="minorEastAsia"/>
      <w:i/>
      <w:iCs/>
      <w:color w:val="404040" w:themeColor="text1" w:themeTint="BF"/>
    </w:rPr>
  </w:style>
  <w:style w:type="paragraph" w:styleId="Naglaencitat">
    <w:name w:val="Intense Quote"/>
    <w:basedOn w:val="Normal"/>
    <w:next w:val="Normal"/>
    <w:link w:val="NaglaencitatChar"/>
    <w:uiPriority w:val="30"/>
    <w:qFormat/>
    <w:rsid w:val="00F71E3B"/>
    <w:pPr>
      <w:pBdr>
        <w:top w:val="single" w:sz="4" w:space="10" w:color="404040" w:themeColor="text1" w:themeTint="BF"/>
        <w:bottom w:val="single" w:sz="4" w:space="10" w:color="404040" w:themeColor="text1" w:themeTint="BF"/>
      </w:pBdr>
      <w:spacing w:before="360" w:after="360"/>
      <w:ind w:left="864" w:right="864"/>
      <w:jc w:val="center"/>
    </w:pPr>
    <w:rPr>
      <w:rFonts w:eastAsiaTheme="minorEastAsia"/>
      <w:i/>
      <w:iCs/>
      <w:color w:val="404040" w:themeColor="text1" w:themeTint="BF"/>
    </w:rPr>
  </w:style>
  <w:style w:type="character" w:customStyle="1" w:styleId="NaglaencitatChar">
    <w:name w:val="Naglašen citat Char"/>
    <w:basedOn w:val="Zadanifontodlomka"/>
    <w:link w:val="Naglaencitat"/>
    <w:uiPriority w:val="30"/>
    <w:rsid w:val="00F71E3B"/>
    <w:rPr>
      <w:rFonts w:eastAsiaTheme="minorEastAsia"/>
      <w:i/>
      <w:iCs/>
      <w:color w:val="404040" w:themeColor="text1" w:themeTint="BF"/>
    </w:rPr>
  </w:style>
  <w:style w:type="character" w:styleId="Neupadljivoisticanje">
    <w:name w:val="Subtle Emphasis"/>
    <w:basedOn w:val="Zadanifontodlomka"/>
    <w:uiPriority w:val="19"/>
    <w:qFormat/>
    <w:rsid w:val="00F71E3B"/>
    <w:rPr>
      <w:i/>
      <w:iCs/>
      <w:color w:val="404040" w:themeColor="text1" w:themeTint="BF"/>
    </w:rPr>
  </w:style>
  <w:style w:type="character" w:styleId="Jakoisticanje">
    <w:name w:val="Intense Emphasis"/>
    <w:basedOn w:val="Zadanifontodlomka"/>
    <w:uiPriority w:val="21"/>
    <w:qFormat/>
    <w:rsid w:val="00F71E3B"/>
    <w:rPr>
      <w:b/>
      <w:bCs/>
      <w:i/>
      <w:iCs/>
      <w:color w:val="auto"/>
    </w:rPr>
  </w:style>
  <w:style w:type="character" w:styleId="Neupadljivareferenca">
    <w:name w:val="Subtle Reference"/>
    <w:basedOn w:val="Zadanifontodlomka"/>
    <w:uiPriority w:val="31"/>
    <w:qFormat/>
    <w:rsid w:val="00F71E3B"/>
    <w:rPr>
      <w:smallCaps/>
      <w:color w:val="404040" w:themeColor="text1" w:themeTint="BF"/>
    </w:rPr>
  </w:style>
  <w:style w:type="character" w:styleId="Istaknutareferenca">
    <w:name w:val="Intense Reference"/>
    <w:basedOn w:val="Zadanifontodlomka"/>
    <w:uiPriority w:val="32"/>
    <w:qFormat/>
    <w:rsid w:val="00F71E3B"/>
    <w:rPr>
      <w:b/>
      <w:bCs/>
      <w:smallCaps/>
      <w:color w:val="404040" w:themeColor="text1" w:themeTint="BF"/>
      <w:spacing w:val="5"/>
    </w:rPr>
  </w:style>
  <w:style w:type="character" w:styleId="Naslovknjige">
    <w:name w:val="Book Title"/>
    <w:basedOn w:val="Zadanifontodlomka"/>
    <w:uiPriority w:val="33"/>
    <w:qFormat/>
    <w:rsid w:val="00F71E3B"/>
    <w:rPr>
      <w:b/>
      <w:bCs/>
      <w:i/>
      <w:iCs/>
      <w:spacing w:val="5"/>
    </w:rPr>
  </w:style>
  <w:style w:type="table" w:customStyle="1" w:styleId="Reetkatablice12">
    <w:name w:val="Rešetka tablice12"/>
    <w:basedOn w:val="Obinatablica"/>
    <w:next w:val="Reetkatablice"/>
    <w:uiPriority w:val="39"/>
    <w:rsid w:val="00F71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71E3B"/>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22">
    <w:name w:val="Rešetka tablice22"/>
    <w:basedOn w:val="Obinatablica"/>
    <w:next w:val="Reetkatablice"/>
    <w:uiPriority w:val="39"/>
    <w:rsid w:val="00F71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next w:val="Reetkatablice"/>
    <w:uiPriority w:val="39"/>
    <w:rsid w:val="00F71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next w:val="Reetkatablice"/>
    <w:uiPriority w:val="39"/>
    <w:rsid w:val="00F71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ipopis1-Isticanje1">
    <w:name w:val="Medium List 1 Accent 1"/>
    <w:basedOn w:val="Obinatablica"/>
    <w:uiPriority w:val="65"/>
    <w:rsid w:val="00F71E3B"/>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vijetlosjenanje-Isticanje1">
    <w:name w:val="Light Shading Accent 1"/>
    <w:basedOn w:val="Obinatablica"/>
    <w:uiPriority w:val="60"/>
    <w:rsid w:val="00F71E3B"/>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Bezproreda4">
    <w:name w:val="Bez proreda4"/>
    <w:qFormat/>
    <w:rsid w:val="00375117"/>
    <w:pPr>
      <w:spacing w:after="0" w:line="240" w:lineRule="auto"/>
    </w:pPr>
    <w:rPr>
      <w:rFonts w:ascii="Calibri" w:eastAsia="Times New Roman"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0311">
      <w:bodyDiv w:val="1"/>
      <w:marLeft w:val="0"/>
      <w:marRight w:val="0"/>
      <w:marTop w:val="0"/>
      <w:marBottom w:val="0"/>
      <w:divBdr>
        <w:top w:val="none" w:sz="0" w:space="0" w:color="auto"/>
        <w:left w:val="none" w:sz="0" w:space="0" w:color="auto"/>
        <w:bottom w:val="none" w:sz="0" w:space="0" w:color="auto"/>
        <w:right w:val="none" w:sz="0" w:space="0" w:color="auto"/>
      </w:divBdr>
    </w:div>
    <w:div w:id="55397586">
      <w:bodyDiv w:val="1"/>
      <w:marLeft w:val="0"/>
      <w:marRight w:val="0"/>
      <w:marTop w:val="0"/>
      <w:marBottom w:val="0"/>
      <w:divBdr>
        <w:top w:val="none" w:sz="0" w:space="0" w:color="auto"/>
        <w:left w:val="none" w:sz="0" w:space="0" w:color="auto"/>
        <w:bottom w:val="none" w:sz="0" w:space="0" w:color="auto"/>
        <w:right w:val="none" w:sz="0" w:space="0" w:color="auto"/>
      </w:divBdr>
    </w:div>
    <w:div w:id="59908258">
      <w:bodyDiv w:val="1"/>
      <w:marLeft w:val="0"/>
      <w:marRight w:val="0"/>
      <w:marTop w:val="0"/>
      <w:marBottom w:val="0"/>
      <w:divBdr>
        <w:top w:val="none" w:sz="0" w:space="0" w:color="auto"/>
        <w:left w:val="none" w:sz="0" w:space="0" w:color="auto"/>
        <w:bottom w:val="none" w:sz="0" w:space="0" w:color="auto"/>
        <w:right w:val="none" w:sz="0" w:space="0" w:color="auto"/>
      </w:divBdr>
    </w:div>
    <w:div w:id="126122713">
      <w:bodyDiv w:val="1"/>
      <w:marLeft w:val="0"/>
      <w:marRight w:val="0"/>
      <w:marTop w:val="0"/>
      <w:marBottom w:val="0"/>
      <w:divBdr>
        <w:top w:val="none" w:sz="0" w:space="0" w:color="auto"/>
        <w:left w:val="none" w:sz="0" w:space="0" w:color="auto"/>
        <w:bottom w:val="none" w:sz="0" w:space="0" w:color="auto"/>
        <w:right w:val="none" w:sz="0" w:space="0" w:color="auto"/>
      </w:divBdr>
    </w:div>
    <w:div w:id="208807695">
      <w:bodyDiv w:val="1"/>
      <w:marLeft w:val="0"/>
      <w:marRight w:val="0"/>
      <w:marTop w:val="0"/>
      <w:marBottom w:val="0"/>
      <w:divBdr>
        <w:top w:val="none" w:sz="0" w:space="0" w:color="auto"/>
        <w:left w:val="none" w:sz="0" w:space="0" w:color="auto"/>
        <w:bottom w:val="none" w:sz="0" w:space="0" w:color="auto"/>
        <w:right w:val="none" w:sz="0" w:space="0" w:color="auto"/>
      </w:divBdr>
    </w:div>
    <w:div w:id="210507135">
      <w:bodyDiv w:val="1"/>
      <w:marLeft w:val="0"/>
      <w:marRight w:val="0"/>
      <w:marTop w:val="0"/>
      <w:marBottom w:val="0"/>
      <w:divBdr>
        <w:top w:val="none" w:sz="0" w:space="0" w:color="auto"/>
        <w:left w:val="none" w:sz="0" w:space="0" w:color="auto"/>
        <w:bottom w:val="none" w:sz="0" w:space="0" w:color="auto"/>
        <w:right w:val="none" w:sz="0" w:space="0" w:color="auto"/>
      </w:divBdr>
    </w:div>
    <w:div w:id="213472691">
      <w:bodyDiv w:val="1"/>
      <w:marLeft w:val="0"/>
      <w:marRight w:val="0"/>
      <w:marTop w:val="0"/>
      <w:marBottom w:val="0"/>
      <w:divBdr>
        <w:top w:val="none" w:sz="0" w:space="0" w:color="auto"/>
        <w:left w:val="none" w:sz="0" w:space="0" w:color="auto"/>
        <w:bottom w:val="none" w:sz="0" w:space="0" w:color="auto"/>
        <w:right w:val="none" w:sz="0" w:space="0" w:color="auto"/>
      </w:divBdr>
    </w:div>
    <w:div w:id="263609407">
      <w:bodyDiv w:val="1"/>
      <w:marLeft w:val="0"/>
      <w:marRight w:val="0"/>
      <w:marTop w:val="0"/>
      <w:marBottom w:val="0"/>
      <w:divBdr>
        <w:top w:val="none" w:sz="0" w:space="0" w:color="auto"/>
        <w:left w:val="none" w:sz="0" w:space="0" w:color="auto"/>
        <w:bottom w:val="none" w:sz="0" w:space="0" w:color="auto"/>
        <w:right w:val="none" w:sz="0" w:space="0" w:color="auto"/>
      </w:divBdr>
    </w:div>
    <w:div w:id="289434207">
      <w:bodyDiv w:val="1"/>
      <w:marLeft w:val="0"/>
      <w:marRight w:val="0"/>
      <w:marTop w:val="0"/>
      <w:marBottom w:val="0"/>
      <w:divBdr>
        <w:top w:val="none" w:sz="0" w:space="0" w:color="auto"/>
        <w:left w:val="none" w:sz="0" w:space="0" w:color="auto"/>
        <w:bottom w:val="none" w:sz="0" w:space="0" w:color="auto"/>
        <w:right w:val="none" w:sz="0" w:space="0" w:color="auto"/>
      </w:divBdr>
    </w:div>
    <w:div w:id="387537501">
      <w:bodyDiv w:val="1"/>
      <w:marLeft w:val="0"/>
      <w:marRight w:val="0"/>
      <w:marTop w:val="0"/>
      <w:marBottom w:val="0"/>
      <w:divBdr>
        <w:top w:val="none" w:sz="0" w:space="0" w:color="auto"/>
        <w:left w:val="none" w:sz="0" w:space="0" w:color="auto"/>
        <w:bottom w:val="none" w:sz="0" w:space="0" w:color="auto"/>
        <w:right w:val="none" w:sz="0" w:space="0" w:color="auto"/>
      </w:divBdr>
    </w:div>
    <w:div w:id="399713127">
      <w:bodyDiv w:val="1"/>
      <w:marLeft w:val="0"/>
      <w:marRight w:val="0"/>
      <w:marTop w:val="0"/>
      <w:marBottom w:val="0"/>
      <w:divBdr>
        <w:top w:val="none" w:sz="0" w:space="0" w:color="auto"/>
        <w:left w:val="none" w:sz="0" w:space="0" w:color="auto"/>
        <w:bottom w:val="none" w:sz="0" w:space="0" w:color="auto"/>
        <w:right w:val="none" w:sz="0" w:space="0" w:color="auto"/>
      </w:divBdr>
    </w:div>
    <w:div w:id="405962200">
      <w:bodyDiv w:val="1"/>
      <w:marLeft w:val="0"/>
      <w:marRight w:val="0"/>
      <w:marTop w:val="0"/>
      <w:marBottom w:val="0"/>
      <w:divBdr>
        <w:top w:val="none" w:sz="0" w:space="0" w:color="auto"/>
        <w:left w:val="none" w:sz="0" w:space="0" w:color="auto"/>
        <w:bottom w:val="none" w:sz="0" w:space="0" w:color="auto"/>
        <w:right w:val="none" w:sz="0" w:space="0" w:color="auto"/>
      </w:divBdr>
    </w:div>
    <w:div w:id="452673184">
      <w:bodyDiv w:val="1"/>
      <w:marLeft w:val="0"/>
      <w:marRight w:val="0"/>
      <w:marTop w:val="0"/>
      <w:marBottom w:val="0"/>
      <w:divBdr>
        <w:top w:val="none" w:sz="0" w:space="0" w:color="auto"/>
        <w:left w:val="none" w:sz="0" w:space="0" w:color="auto"/>
        <w:bottom w:val="none" w:sz="0" w:space="0" w:color="auto"/>
        <w:right w:val="none" w:sz="0" w:space="0" w:color="auto"/>
      </w:divBdr>
    </w:div>
    <w:div w:id="472452549">
      <w:bodyDiv w:val="1"/>
      <w:marLeft w:val="0"/>
      <w:marRight w:val="0"/>
      <w:marTop w:val="0"/>
      <w:marBottom w:val="0"/>
      <w:divBdr>
        <w:top w:val="none" w:sz="0" w:space="0" w:color="auto"/>
        <w:left w:val="none" w:sz="0" w:space="0" w:color="auto"/>
        <w:bottom w:val="none" w:sz="0" w:space="0" w:color="auto"/>
        <w:right w:val="none" w:sz="0" w:space="0" w:color="auto"/>
      </w:divBdr>
    </w:div>
    <w:div w:id="493179012">
      <w:bodyDiv w:val="1"/>
      <w:marLeft w:val="0"/>
      <w:marRight w:val="0"/>
      <w:marTop w:val="0"/>
      <w:marBottom w:val="0"/>
      <w:divBdr>
        <w:top w:val="none" w:sz="0" w:space="0" w:color="auto"/>
        <w:left w:val="none" w:sz="0" w:space="0" w:color="auto"/>
        <w:bottom w:val="none" w:sz="0" w:space="0" w:color="auto"/>
        <w:right w:val="none" w:sz="0" w:space="0" w:color="auto"/>
      </w:divBdr>
    </w:div>
    <w:div w:id="514153081">
      <w:bodyDiv w:val="1"/>
      <w:marLeft w:val="0"/>
      <w:marRight w:val="0"/>
      <w:marTop w:val="0"/>
      <w:marBottom w:val="0"/>
      <w:divBdr>
        <w:top w:val="none" w:sz="0" w:space="0" w:color="auto"/>
        <w:left w:val="none" w:sz="0" w:space="0" w:color="auto"/>
        <w:bottom w:val="none" w:sz="0" w:space="0" w:color="auto"/>
        <w:right w:val="none" w:sz="0" w:space="0" w:color="auto"/>
      </w:divBdr>
    </w:div>
    <w:div w:id="522746173">
      <w:bodyDiv w:val="1"/>
      <w:marLeft w:val="0"/>
      <w:marRight w:val="0"/>
      <w:marTop w:val="0"/>
      <w:marBottom w:val="0"/>
      <w:divBdr>
        <w:top w:val="none" w:sz="0" w:space="0" w:color="auto"/>
        <w:left w:val="none" w:sz="0" w:space="0" w:color="auto"/>
        <w:bottom w:val="none" w:sz="0" w:space="0" w:color="auto"/>
        <w:right w:val="none" w:sz="0" w:space="0" w:color="auto"/>
      </w:divBdr>
    </w:div>
    <w:div w:id="523788114">
      <w:bodyDiv w:val="1"/>
      <w:marLeft w:val="0"/>
      <w:marRight w:val="0"/>
      <w:marTop w:val="0"/>
      <w:marBottom w:val="0"/>
      <w:divBdr>
        <w:top w:val="none" w:sz="0" w:space="0" w:color="auto"/>
        <w:left w:val="none" w:sz="0" w:space="0" w:color="auto"/>
        <w:bottom w:val="none" w:sz="0" w:space="0" w:color="auto"/>
        <w:right w:val="none" w:sz="0" w:space="0" w:color="auto"/>
      </w:divBdr>
    </w:div>
    <w:div w:id="530655731">
      <w:bodyDiv w:val="1"/>
      <w:marLeft w:val="0"/>
      <w:marRight w:val="0"/>
      <w:marTop w:val="0"/>
      <w:marBottom w:val="0"/>
      <w:divBdr>
        <w:top w:val="none" w:sz="0" w:space="0" w:color="auto"/>
        <w:left w:val="none" w:sz="0" w:space="0" w:color="auto"/>
        <w:bottom w:val="none" w:sz="0" w:space="0" w:color="auto"/>
        <w:right w:val="none" w:sz="0" w:space="0" w:color="auto"/>
      </w:divBdr>
    </w:div>
    <w:div w:id="542518594">
      <w:bodyDiv w:val="1"/>
      <w:marLeft w:val="0"/>
      <w:marRight w:val="0"/>
      <w:marTop w:val="0"/>
      <w:marBottom w:val="0"/>
      <w:divBdr>
        <w:top w:val="none" w:sz="0" w:space="0" w:color="auto"/>
        <w:left w:val="none" w:sz="0" w:space="0" w:color="auto"/>
        <w:bottom w:val="none" w:sz="0" w:space="0" w:color="auto"/>
        <w:right w:val="none" w:sz="0" w:space="0" w:color="auto"/>
      </w:divBdr>
    </w:div>
    <w:div w:id="544021806">
      <w:bodyDiv w:val="1"/>
      <w:marLeft w:val="0"/>
      <w:marRight w:val="0"/>
      <w:marTop w:val="0"/>
      <w:marBottom w:val="0"/>
      <w:divBdr>
        <w:top w:val="none" w:sz="0" w:space="0" w:color="auto"/>
        <w:left w:val="none" w:sz="0" w:space="0" w:color="auto"/>
        <w:bottom w:val="none" w:sz="0" w:space="0" w:color="auto"/>
        <w:right w:val="none" w:sz="0" w:space="0" w:color="auto"/>
      </w:divBdr>
    </w:div>
    <w:div w:id="591360469">
      <w:bodyDiv w:val="1"/>
      <w:marLeft w:val="0"/>
      <w:marRight w:val="0"/>
      <w:marTop w:val="0"/>
      <w:marBottom w:val="0"/>
      <w:divBdr>
        <w:top w:val="none" w:sz="0" w:space="0" w:color="auto"/>
        <w:left w:val="none" w:sz="0" w:space="0" w:color="auto"/>
        <w:bottom w:val="none" w:sz="0" w:space="0" w:color="auto"/>
        <w:right w:val="none" w:sz="0" w:space="0" w:color="auto"/>
      </w:divBdr>
    </w:div>
    <w:div w:id="631374957">
      <w:bodyDiv w:val="1"/>
      <w:marLeft w:val="0"/>
      <w:marRight w:val="0"/>
      <w:marTop w:val="0"/>
      <w:marBottom w:val="0"/>
      <w:divBdr>
        <w:top w:val="none" w:sz="0" w:space="0" w:color="auto"/>
        <w:left w:val="none" w:sz="0" w:space="0" w:color="auto"/>
        <w:bottom w:val="none" w:sz="0" w:space="0" w:color="auto"/>
        <w:right w:val="none" w:sz="0" w:space="0" w:color="auto"/>
      </w:divBdr>
    </w:div>
    <w:div w:id="654265456">
      <w:bodyDiv w:val="1"/>
      <w:marLeft w:val="0"/>
      <w:marRight w:val="0"/>
      <w:marTop w:val="0"/>
      <w:marBottom w:val="0"/>
      <w:divBdr>
        <w:top w:val="none" w:sz="0" w:space="0" w:color="auto"/>
        <w:left w:val="none" w:sz="0" w:space="0" w:color="auto"/>
        <w:bottom w:val="none" w:sz="0" w:space="0" w:color="auto"/>
        <w:right w:val="none" w:sz="0" w:space="0" w:color="auto"/>
      </w:divBdr>
    </w:div>
    <w:div w:id="704981563">
      <w:bodyDiv w:val="1"/>
      <w:marLeft w:val="0"/>
      <w:marRight w:val="0"/>
      <w:marTop w:val="0"/>
      <w:marBottom w:val="0"/>
      <w:divBdr>
        <w:top w:val="none" w:sz="0" w:space="0" w:color="auto"/>
        <w:left w:val="none" w:sz="0" w:space="0" w:color="auto"/>
        <w:bottom w:val="none" w:sz="0" w:space="0" w:color="auto"/>
        <w:right w:val="none" w:sz="0" w:space="0" w:color="auto"/>
      </w:divBdr>
    </w:div>
    <w:div w:id="710616582">
      <w:bodyDiv w:val="1"/>
      <w:marLeft w:val="0"/>
      <w:marRight w:val="0"/>
      <w:marTop w:val="0"/>
      <w:marBottom w:val="0"/>
      <w:divBdr>
        <w:top w:val="none" w:sz="0" w:space="0" w:color="auto"/>
        <w:left w:val="none" w:sz="0" w:space="0" w:color="auto"/>
        <w:bottom w:val="none" w:sz="0" w:space="0" w:color="auto"/>
        <w:right w:val="none" w:sz="0" w:space="0" w:color="auto"/>
      </w:divBdr>
    </w:div>
    <w:div w:id="712466827">
      <w:bodyDiv w:val="1"/>
      <w:marLeft w:val="0"/>
      <w:marRight w:val="0"/>
      <w:marTop w:val="0"/>
      <w:marBottom w:val="0"/>
      <w:divBdr>
        <w:top w:val="none" w:sz="0" w:space="0" w:color="auto"/>
        <w:left w:val="none" w:sz="0" w:space="0" w:color="auto"/>
        <w:bottom w:val="none" w:sz="0" w:space="0" w:color="auto"/>
        <w:right w:val="none" w:sz="0" w:space="0" w:color="auto"/>
      </w:divBdr>
    </w:div>
    <w:div w:id="730661817">
      <w:bodyDiv w:val="1"/>
      <w:marLeft w:val="0"/>
      <w:marRight w:val="0"/>
      <w:marTop w:val="0"/>
      <w:marBottom w:val="0"/>
      <w:divBdr>
        <w:top w:val="none" w:sz="0" w:space="0" w:color="auto"/>
        <w:left w:val="none" w:sz="0" w:space="0" w:color="auto"/>
        <w:bottom w:val="none" w:sz="0" w:space="0" w:color="auto"/>
        <w:right w:val="none" w:sz="0" w:space="0" w:color="auto"/>
      </w:divBdr>
    </w:div>
    <w:div w:id="773401260">
      <w:bodyDiv w:val="1"/>
      <w:marLeft w:val="0"/>
      <w:marRight w:val="0"/>
      <w:marTop w:val="0"/>
      <w:marBottom w:val="0"/>
      <w:divBdr>
        <w:top w:val="none" w:sz="0" w:space="0" w:color="auto"/>
        <w:left w:val="none" w:sz="0" w:space="0" w:color="auto"/>
        <w:bottom w:val="none" w:sz="0" w:space="0" w:color="auto"/>
        <w:right w:val="none" w:sz="0" w:space="0" w:color="auto"/>
      </w:divBdr>
    </w:div>
    <w:div w:id="789787072">
      <w:bodyDiv w:val="1"/>
      <w:marLeft w:val="0"/>
      <w:marRight w:val="0"/>
      <w:marTop w:val="0"/>
      <w:marBottom w:val="0"/>
      <w:divBdr>
        <w:top w:val="none" w:sz="0" w:space="0" w:color="auto"/>
        <w:left w:val="none" w:sz="0" w:space="0" w:color="auto"/>
        <w:bottom w:val="none" w:sz="0" w:space="0" w:color="auto"/>
        <w:right w:val="none" w:sz="0" w:space="0" w:color="auto"/>
      </w:divBdr>
    </w:div>
    <w:div w:id="902182995">
      <w:bodyDiv w:val="1"/>
      <w:marLeft w:val="0"/>
      <w:marRight w:val="0"/>
      <w:marTop w:val="0"/>
      <w:marBottom w:val="0"/>
      <w:divBdr>
        <w:top w:val="none" w:sz="0" w:space="0" w:color="auto"/>
        <w:left w:val="none" w:sz="0" w:space="0" w:color="auto"/>
        <w:bottom w:val="none" w:sz="0" w:space="0" w:color="auto"/>
        <w:right w:val="none" w:sz="0" w:space="0" w:color="auto"/>
      </w:divBdr>
    </w:div>
    <w:div w:id="1022434598">
      <w:bodyDiv w:val="1"/>
      <w:marLeft w:val="0"/>
      <w:marRight w:val="0"/>
      <w:marTop w:val="0"/>
      <w:marBottom w:val="0"/>
      <w:divBdr>
        <w:top w:val="none" w:sz="0" w:space="0" w:color="auto"/>
        <w:left w:val="none" w:sz="0" w:space="0" w:color="auto"/>
        <w:bottom w:val="none" w:sz="0" w:space="0" w:color="auto"/>
        <w:right w:val="none" w:sz="0" w:space="0" w:color="auto"/>
      </w:divBdr>
    </w:div>
    <w:div w:id="1030255994">
      <w:bodyDiv w:val="1"/>
      <w:marLeft w:val="0"/>
      <w:marRight w:val="0"/>
      <w:marTop w:val="0"/>
      <w:marBottom w:val="0"/>
      <w:divBdr>
        <w:top w:val="none" w:sz="0" w:space="0" w:color="auto"/>
        <w:left w:val="none" w:sz="0" w:space="0" w:color="auto"/>
        <w:bottom w:val="none" w:sz="0" w:space="0" w:color="auto"/>
        <w:right w:val="none" w:sz="0" w:space="0" w:color="auto"/>
      </w:divBdr>
    </w:div>
    <w:div w:id="1039936847">
      <w:bodyDiv w:val="1"/>
      <w:marLeft w:val="0"/>
      <w:marRight w:val="0"/>
      <w:marTop w:val="0"/>
      <w:marBottom w:val="0"/>
      <w:divBdr>
        <w:top w:val="none" w:sz="0" w:space="0" w:color="auto"/>
        <w:left w:val="none" w:sz="0" w:space="0" w:color="auto"/>
        <w:bottom w:val="none" w:sz="0" w:space="0" w:color="auto"/>
        <w:right w:val="none" w:sz="0" w:space="0" w:color="auto"/>
      </w:divBdr>
    </w:div>
    <w:div w:id="1055471568">
      <w:bodyDiv w:val="1"/>
      <w:marLeft w:val="0"/>
      <w:marRight w:val="0"/>
      <w:marTop w:val="0"/>
      <w:marBottom w:val="0"/>
      <w:divBdr>
        <w:top w:val="none" w:sz="0" w:space="0" w:color="auto"/>
        <w:left w:val="none" w:sz="0" w:space="0" w:color="auto"/>
        <w:bottom w:val="none" w:sz="0" w:space="0" w:color="auto"/>
        <w:right w:val="none" w:sz="0" w:space="0" w:color="auto"/>
      </w:divBdr>
    </w:div>
    <w:div w:id="1110705452">
      <w:bodyDiv w:val="1"/>
      <w:marLeft w:val="0"/>
      <w:marRight w:val="0"/>
      <w:marTop w:val="0"/>
      <w:marBottom w:val="0"/>
      <w:divBdr>
        <w:top w:val="none" w:sz="0" w:space="0" w:color="auto"/>
        <w:left w:val="none" w:sz="0" w:space="0" w:color="auto"/>
        <w:bottom w:val="none" w:sz="0" w:space="0" w:color="auto"/>
        <w:right w:val="none" w:sz="0" w:space="0" w:color="auto"/>
      </w:divBdr>
    </w:div>
    <w:div w:id="1148282616">
      <w:bodyDiv w:val="1"/>
      <w:marLeft w:val="0"/>
      <w:marRight w:val="0"/>
      <w:marTop w:val="0"/>
      <w:marBottom w:val="0"/>
      <w:divBdr>
        <w:top w:val="none" w:sz="0" w:space="0" w:color="auto"/>
        <w:left w:val="none" w:sz="0" w:space="0" w:color="auto"/>
        <w:bottom w:val="none" w:sz="0" w:space="0" w:color="auto"/>
        <w:right w:val="none" w:sz="0" w:space="0" w:color="auto"/>
      </w:divBdr>
    </w:div>
    <w:div w:id="1172454428">
      <w:bodyDiv w:val="1"/>
      <w:marLeft w:val="0"/>
      <w:marRight w:val="0"/>
      <w:marTop w:val="0"/>
      <w:marBottom w:val="0"/>
      <w:divBdr>
        <w:top w:val="none" w:sz="0" w:space="0" w:color="auto"/>
        <w:left w:val="none" w:sz="0" w:space="0" w:color="auto"/>
        <w:bottom w:val="none" w:sz="0" w:space="0" w:color="auto"/>
        <w:right w:val="none" w:sz="0" w:space="0" w:color="auto"/>
      </w:divBdr>
    </w:div>
    <w:div w:id="1181627580">
      <w:bodyDiv w:val="1"/>
      <w:marLeft w:val="0"/>
      <w:marRight w:val="0"/>
      <w:marTop w:val="0"/>
      <w:marBottom w:val="0"/>
      <w:divBdr>
        <w:top w:val="none" w:sz="0" w:space="0" w:color="auto"/>
        <w:left w:val="none" w:sz="0" w:space="0" w:color="auto"/>
        <w:bottom w:val="none" w:sz="0" w:space="0" w:color="auto"/>
        <w:right w:val="none" w:sz="0" w:space="0" w:color="auto"/>
      </w:divBdr>
    </w:div>
    <w:div w:id="1215046926">
      <w:bodyDiv w:val="1"/>
      <w:marLeft w:val="0"/>
      <w:marRight w:val="0"/>
      <w:marTop w:val="0"/>
      <w:marBottom w:val="0"/>
      <w:divBdr>
        <w:top w:val="none" w:sz="0" w:space="0" w:color="auto"/>
        <w:left w:val="none" w:sz="0" w:space="0" w:color="auto"/>
        <w:bottom w:val="none" w:sz="0" w:space="0" w:color="auto"/>
        <w:right w:val="none" w:sz="0" w:space="0" w:color="auto"/>
      </w:divBdr>
    </w:div>
    <w:div w:id="1258096846">
      <w:bodyDiv w:val="1"/>
      <w:marLeft w:val="0"/>
      <w:marRight w:val="0"/>
      <w:marTop w:val="0"/>
      <w:marBottom w:val="0"/>
      <w:divBdr>
        <w:top w:val="none" w:sz="0" w:space="0" w:color="auto"/>
        <w:left w:val="none" w:sz="0" w:space="0" w:color="auto"/>
        <w:bottom w:val="none" w:sz="0" w:space="0" w:color="auto"/>
        <w:right w:val="none" w:sz="0" w:space="0" w:color="auto"/>
      </w:divBdr>
    </w:div>
    <w:div w:id="1324121365">
      <w:bodyDiv w:val="1"/>
      <w:marLeft w:val="0"/>
      <w:marRight w:val="0"/>
      <w:marTop w:val="0"/>
      <w:marBottom w:val="0"/>
      <w:divBdr>
        <w:top w:val="none" w:sz="0" w:space="0" w:color="auto"/>
        <w:left w:val="none" w:sz="0" w:space="0" w:color="auto"/>
        <w:bottom w:val="none" w:sz="0" w:space="0" w:color="auto"/>
        <w:right w:val="none" w:sz="0" w:space="0" w:color="auto"/>
      </w:divBdr>
    </w:div>
    <w:div w:id="1337347937">
      <w:bodyDiv w:val="1"/>
      <w:marLeft w:val="0"/>
      <w:marRight w:val="0"/>
      <w:marTop w:val="0"/>
      <w:marBottom w:val="0"/>
      <w:divBdr>
        <w:top w:val="none" w:sz="0" w:space="0" w:color="auto"/>
        <w:left w:val="none" w:sz="0" w:space="0" w:color="auto"/>
        <w:bottom w:val="none" w:sz="0" w:space="0" w:color="auto"/>
        <w:right w:val="none" w:sz="0" w:space="0" w:color="auto"/>
      </w:divBdr>
    </w:div>
    <w:div w:id="1389374616">
      <w:bodyDiv w:val="1"/>
      <w:marLeft w:val="0"/>
      <w:marRight w:val="0"/>
      <w:marTop w:val="0"/>
      <w:marBottom w:val="0"/>
      <w:divBdr>
        <w:top w:val="none" w:sz="0" w:space="0" w:color="auto"/>
        <w:left w:val="none" w:sz="0" w:space="0" w:color="auto"/>
        <w:bottom w:val="none" w:sz="0" w:space="0" w:color="auto"/>
        <w:right w:val="none" w:sz="0" w:space="0" w:color="auto"/>
      </w:divBdr>
      <w:divsChild>
        <w:div w:id="1419327480">
          <w:marLeft w:val="547"/>
          <w:marRight w:val="0"/>
          <w:marTop w:val="200"/>
          <w:marBottom w:val="0"/>
          <w:divBdr>
            <w:top w:val="none" w:sz="0" w:space="0" w:color="auto"/>
            <w:left w:val="none" w:sz="0" w:space="0" w:color="auto"/>
            <w:bottom w:val="none" w:sz="0" w:space="0" w:color="auto"/>
            <w:right w:val="none" w:sz="0" w:space="0" w:color="auto"/>
          </w:divBdr>
        </w:div>
        <w:div w:id="1690596671">
          <w:marLeft w:val="547"/>
          <w:marRight w:val="0"/>
          <w:marTop w:val="0"/>
          <w:marBottom w:val="0"/>
          <w:divBdr>
            <w:top w:val="none" w:sz="0" w:space="0" w:color="auto"/>
            <w:left w:val="none" w:sz="0" w:space="0" w:color="auto"/>
            <w:bottom w:val="none" w:sz="0" w:space="0" w:color="auto"/>
            <w:right w:val="none" w:sz="0" w:space="0" w:color="auto"/>
          </w:divBdr>
        </w:div>
        <w:div w:id="2022314378">
          <w:marLeft w:val="547"/>
          <w:marRight w:val="0"/>
          <w:marTop w:val="0"/>
          <w:marBottom w:val="0"/>
          <w:divBdr>
            <w:top w:val="none" w:sz="0" w:space="0" w:color="auto"/>
            <w:left w:val="none" w:sz="0" w:space="0" w:color="auto"/>
            <w:bottom w:val="none" w:sz="0" w:space="0" w:color="auto"/>
            <w:right w:val="none" w:sz="0" w:space="0" w:color="auto"/>
          </w:divBdr>
        </w:div>
        <w:div w:id="1560167118">
          <w:marLeft w:val="547"/>
          <w:marRight w:val="0"/>
          <w:marTop w:val="200"/>
          <w:marBottom w:val="0"/>
          <w:divBdr>
            <w:top w:val="none" w:sz="0" w:space="0" w:color="auto"/>
            <w:left w:val="none" w:sz="0" w:space="0" w:color="auto"/>
            <w:bottom w:val="none" w:sz="0" w:space="0" w:color="auto"/>
            <w:right w:val="none" w:sz="0" w:space="0" w:color="auto"/>
          </w:divBdr>
        </w:div>
        <w:div w:id="44067773">
          <w:marLeft w:val="547"/>
          <w:marRight w:val="0"/>
          <w:marTop w:val="0"/>
          <w:marBottom w:val="0"/>
          <w:divBdr>
            <w:top w:val="none" w:sz="0" w:space="0" w:color="auto"/>
            <w:left w:val="none" w:sz="0" w:space="0" w:color="auto"/>
            <w:bottom w:val="none" w:sz="0" w:space="0" w:color="auto"/>
            <w:right w:val="none" w:sz="0" w:space="0" w:color="auto"/>
          </w:divBdr>
        </w:div>
        <w:div w:id="1577320470">
          <w:marLeft w:val="547"/>
          <w:marRight w:val="0"/>
          <w:marTop w:val="0"/>
          <w:marBottom w:val="0"/>
          <w:divBdr>
            <w:top w:val="none" w:sz="0" w:space="0" w:color="auto"/>
            <w:left w:val="none" w:sz="0" w:space="0" w:color="auto"/>
            <w:bottom w:val="none" w:sz="0" w:space="0" w:color="auto"/>
            <w:right w:val="none" w:sz="0" w:space="0" w:color="auto"/>
          </w:divBdr>
        </w:div>
        <w:div w:id="846217020">
          <w:marLeft w:val="547"/>
          <w:marRight w:val="0"/>
          <w:marTop w:val="0"/>
          <w:marBottom w:val="0"/>
          <w:divBdr>
            <w:top w:val="none" w:sz="0" w:space="0" w:color="auto"/>
            <w:left w:val="none" w:sz="0" w:space="0" w:color="auto"/>
            <w:bottom w:val="none" w:sz="0" w:space="0" w:color="auto"/>
            <w:right w:val="none" w:sz="0" w:space="0" w:color="auto"/>
          </w:divBdr>
        </w:div>
        <w:div w:id="647368536">
          <w:marLeft w:val="547"/>
          <w:marRight w:val="0"/>
          <w:marTop w:val="0"/>
          <w:marBottom w:val="0"/>
          <w:divBdr>
            <w:top w:val="none" w:sz="0" w:space="0" w:color="auto"/>
            <w:left w:val="none" w:sz="0" w:space="0" w:color="auto"/>
            <w:bottom w:val="none" w:sz="0" w:space="0" w:color="auto"/>
            <w:right w:val="none" w:sz="0" w:space="0" w:color="auto"/>
          </w:divBdr>
        </w:div>
        <w:div w:id="854199041">
          <w:marLeft w:val="547"/>
          <w:marRight w:val="0"/>
          <w:marTop w:val="0"/>
          <w:marBottom w:val="0"/>
          <w:divBdr>
            <w:top w:val="none" w:sz="0" w:space="0" w:color="auto"/>
            <w:left w:val="none" w:sz="0" w:space="0" w:color="auto"/>
            <w:bottom w:val="none" w:sz="0" w:space="0" w:color="auto"/>
            <w:right w:val="none" w:sz="0" w:space="0" w:color="auto"/>
          </w:divBdr>
        </w:div>
        <w:div w:id="116266794">
          <w:marLeft w:val="547"/>
          <w:marRight w:val="0"/>
          <w:marTop w:val="0"/>
          <w:marBottom w:val="0"/>
          <w:divBdr>
            <w:top w:val="none" w:sz="0" w:space="0" w:color="auto"/>
            <w:left w:val="none" w:sz="0" w:space="0" w:color="auto"/>
            <w:bottom w:val="none" w:sz="0" w:space="0" w:color="auto"/>
            <w:right w:val="none" w:sz="0" w:space="0" w:color="auto"/>
          </w:divBdr>
        </w:div>
        <w:div w:id="1464080985">
          <w:marLeft w:val="547"/>
          <w:marRight w:val="0"/>
          <w:marTop w:val="0"/>
          <w:marBottom w:val="0"/>
          <w:divBdr>
            <w:top w:val="none" w:sz="0" w:space="0" w:color="auto"/>
            <w:left w:val="none" w:sz="0" w:space="0" w:color="auto"/>
            <w:bottom w:val="none" w:sz="0" w:space="0" w:color="auto"/>
            <w:right w:val="none" w:sz="0" w:space="0" w:color="auto"/>
          </w:divBdr>
        </w:div>
        <w:div w:id="1426609779">
          <w:marLeft w:val="547"/>
          <w:marRight w:val="0"/>
          <w:marTop w:val="0"/>
          <w:marBottom w:val="0"/>
          <w:divBdr>
            <w:top w:val="none" w:sz="0" w:space="0" w:color="auto"/>
            <w:left w:val="none" w:sz="0" w:space="0" w:color="auto"/>
            <w:bottom w:val="none" w:sz="0" w:space="0" w:color="auto"/>
            <w:right w:val="none" w:sz="0" w:space="0" w:color="auto"/>
          </w:divBdr>
        </w:div>
        <w:div w:id="873930470">
          <w:marLeft w:val="547"/>
          <w:marRight w:val="0"/>
          <w:marTop w:val="0"/>
          <w:marBottom w:val="0"/>
          <w:divBdr>
            <w:top w:val="none" w:sz="0" w:space="0" w:color="auto"/>
            <w:left w:val="none" w:sz="0" w:space="0" w:color="auto"/>
            <w:bottom w:val="none" w:sz="0" w:space="0" w:color="auto"/>
            <w:right w:val="none" w:sz="0" w:space="0" w:color="auto"/>
          </w:divBdr>
        </w:div>
        <w:div w:id="450443308">
          <w:marLeft w:val="547"/>
          <w:marRight w:val="0"/>
          <w:marTop w:val="0"/>
          <w:marBottom w:val="0"/>
          <w:divBdr>
            <w:top w:val="none" w:sz="0" w:space="0" w:color="auto"/>
            <w:left w:val="none" w:sz="0" w:space="0" w:color="auto"/>
            <w:bottom w:val="none" w:sz="0" w:space="0" w:color="auto"/>
            <w:right w:val="none" w:sz="0" w:space="0" w:color="auto"/>
          </w:divBdr>
        </w:div>
        <w:div w:id="602032163">
          <w:marLeft w:val="547"/>
          <w:marRight w:val="0"/>
          <w:marTop w:val="0"/>
          <w:marBottom w:val="0"/>
          <w:divBdr>
            <w:top w:val="none" w:sz="0" w:space="0" w:color="auto"/>
            <w:left w:val="none" w:sz="0" w:space="0" w:color="auto"/>
            <w:bottom w:val="none" w:sz="0" w:space="0" w:color="auto"/>
            <w:right w:val="none" w:sz="0" w:space="0" w:color="auto"/>
          </w:divBdr>
        </w:div>
        <w:div w:id="843013359">
          <w:marLeft w:val="547"/>
          <w:marRight w:val="0"/>
          <w:marTop w:val="0"/>
          <w:marBottom w:val="0"/>
          <w:divBdr>
            <w:top w:val="none" w:sz="0" w:space="0" w:color="auto"/>
            <w:left w:val="none" w:sz="0" w:space="0" w:color="auto"/>
            <w:bottom w:val="none" w:sz="0" w:space="0" w:color="auto"/>
            <w:right w:val="none" w:sz="0" w:space="0" w:color="auto"/>
          </w:divBdr>
        </w:div>
      </w:divsChild>
    </w:div>
    <w:div w:id="1426345172">
      <w:bodyDiv w:val="1"/>
      <w:marLeft w:val="0"/>
      <w:marRight w:val="0"/>
      <w:marTop w:val="0"/>
      <w:marBottom w:val="0"/>
      <w:divBdr>
        <w:top w:val="none" w:sz="0" w:space="0" w:color="auto"/>
        <w:left w:val="none" w:sz="0" w:space="0" w:color="auto"/>
        <w:bottom w:val="none" w:sz="0" w:space="0" w:color="auto"/>
        <w:right w:val="none" w:sz="0" w:space="0" w:color="auto"/>
      </w:divBdr>
    </w:div>
    <w:div w:id="1445878106">
      <w:bodyDiv w:val="1"/>
      <w:marLeft w:val="0"/>
      <w:marRight w:val="0"/>
      <w:marTop w:val="0"/>
      <w:marBottom w:val="0"/>
      <w:divBdr>
        <w:top w:val="none" w:sz="0" w:space="0" w:color="auto"/>
        <w:left w:val="none" w:sz="0" w:space="0" w:color="auto"/>
        <w:bottom w:val="none" w:sz="0" w:space="0" w:color="auto"/>
        <w:right w:val="none" w:sz="0" w:space="0" w:color="auto"/>
      </w:divBdr>
    </w:div>
    <w:div w:id="1576473257">
      <w:bodyDiv w:val="1"/>
      <w:marLeft w:val="0"/>
      <w:marRight w:val="0"/>
      <w:marTop w:val="0"/>
      <w:marBottom w:val="0"/>
      <w:divBdr>
        <w:top w:val="none" w:sz="0" w:space="0" w:color="auto"/>
        <w:left w:val="none" w:sz="0" w:space="0" w:color="auto"/>
        <w:bottom w:val="none" w:sz="0" w:space="0" w:color="auto"/>
        <w:right w:val="none" w:sz="0" w:space="0" w:color="auto"/>
      </w:divBdr>
    </w:div>
    <w:div w:id="1584025964">
      <w:bodyDiv w:val="1"/>
      <w:marLeft w:val="0"/>
      <w:marRight w:val="0"/>
      <w:marTop w:val="0"/>
      <w:marBottom w:val="0"/>
      <w:divBdr>
        <w:top w:val="none" w:sz="0" w:space="0" w:color="auto"/>
        <w:left w:val="none" w:sz="0" w:space="0" w:color="auto"/>
        <w:bottom w:val="none" w:sz="0" w:space="0" w:color="auto"/>
        <w:right w:val="none" w:sz="0" w:space="0" w:color="auto"/>
      </w:divBdr>
    </w:div>
    <w:div w:id="1592276298">
      <w:bodyDiv w:val="1"/>
      <w:marLeft w:val="0"/>
      <w:marRight w:val="0"/>
      <w:marTop w:val="0"/>
      <w:marBottom w:val="0"/>
      <w:divBdr>
        <w:top w:val="none" w:sz="0" w:space="0" w:color="auto"/>
        <w:left w:val="none" w:sz="0" w:space="0" w:color="auto"/>
        <w:bottom w:val="none" w:sz="0" w:space="0" w:color="auto"/>
        <w:right w:val="none" w:sz="0" w:space="0" w:color="auto"/>
      </w:divBdr>
    </w:div>
    <w:div w:id="1606306751">
      <w:bodyDiv w:val="1"/>
      <w:marLeft w:val="0"/>
      <w:marRight w:val="0"/>
      <w:marTop w:val="0"/>
      <w:marBottom w:val="0"/>
      <w:divBdr>
        <w:top w:val="none" w:sz="0" w:space="0" w:color="auto"/>
        <w:left w:val="none" w:sz="0" w:space="0" w:color="auto"/>
        <w:bottom w:val="none" w:sz="0" w:space="0" w:color="auto"/>
        <w:right w:val="none" w:sz="0" w:space="0" w:color="auto"/>
      </w:divBdr>
    </w:div>
    <w:div w:id="1704016690">
      <w:bodyDiv w:val="1"/>
      <w:marLeft w:val="0"/>
      <w:marRight w:val="0"/>
      <w:marTop w:val="0"/>
      <w:marBottom w:val="0"/>
      <w:divBdr>
        <w:top w:val="none" w:sz="0" w:space="0" w:color="auto"/>
        <w:left w:val="none" w:sz="0" w:space="0" w:color="auto"/>
        <w:bottom w:val="none" w:sz="0" w:space="0" w:color="auto"/>
        <w:right w:val="none" w:sz="0" w:space="0" w:color="auto"/>
      </w:divBdr>
    </w:div>
    <w:div w:id="1706638490">
      <w:bodyDiv w:val="1"/>
      <w:marLeft w:val="0"/>
      <w:marRight w:val="0"/>
      <w:marTop w:val="0"/>
      <w:marBottom w:val="0"/>
      <w:divBdr>
        <w:top w:val="none" w:sz="0" w:space="0" w:color="auto"/>
        <w:left w:val="none" w:sz="0" w:space="0" w:color="auto"/>
        <w:bottom w:val="none" w:sz="0" w:space="0" w:color="auto"/>
        <w:right w:val="none" w:sz="0" w:space="0" w:color="auto"/>
      </w:divBdr>
    </w:div>
    <w:div w:id="1707874116">
      <w:bodyDiv w:val="1"/>
      <w:marLeft w:val="0"/>
      <w:marRight w:val="0"/>
      <w:marTop w:val="0"/>
      <w:marBottom w:val="0"/>
      <w:divBdr>
        <w:top w:val="none" w:sz="0" w:space="0" w:color="auto"/>
        <w:left w:val="none" w:sz="0" w:space="0" w:color="auto"/>
        <w:bottom w:val="none" w:sz="0" w:space="0" w:color="auto"/>
        <w:right w:val="none" w:sz="0" w:space="0" w:color="auto"/>
      </w:divBdr>
    </w:div>
    <w:div w:id="1729722963">
      <w:bodyDiv w:val="1"/>
      <w:marLeft w:val="0"/>
      <w:marRight w:val="0"/>
      <w:marTop w:val="0"/>
      <w:marBottom w:val="0"/>
      <w:divBdr>
        <w:top w:val="none" w:sz="0" w:space="0" w:color="auto"/>
        <w:left w:val="none" w:sz="0" w:space="0" w:color="auto"/>
        <w:bottom w:val="none" w:sz="0" w:space="0" w:color="auto"/>
        <w:right w:val="none" w:sz="0" w:space="0" w:color="auto"/>
      </w:divBdr>
    </w:div>
    <w:div w:id="1750345290">
      <w:bodyDiv w:val="1"/>
      <w:marLeft w:val="0"/>
      <w:marRight w:val="0"/>
      <w:marTop w:val="0"/>
      <w:marBottom w:val="0"/>
      <w:divBdr>
        <w:top w:val="none" w:sz="0" w:space="0" w:color="auto"/>
        <w:left w:val="none" w:sz="0" w:space="0" w:color="auto"/>
        <w:bottom w:val="none" w:sz="0" w:space="0" w:color="auto"/>
        <w:right w:val="none" w:sz="0" w:space="0" w:color="auto"/>
      </w:divBdr>
    </w:div>
    <w:div w:id="1801611416">
      <w:bodyDiv w:val="1"/>
      <w:marLeft w:val="0"/>
      <w:marRight w:val="0"/>
      <w:marTop w:val="0"/>
      <w:marBottom w:val="0"/>
      <w:divBdr>
        <w:top w:val="none" w:sz="0" w:space="0" w:color="auto"/>
        <w:left w:val="none" w:sz="0" w:space="0" w:color="auto"/>
        <w:bottom w:val="none" w:sz="0" w:space="0" w:color="auto"/>
        <w:right w:val="none" w:sz="0" w:space="0" w:color="auto"/>
      </w:divBdr>
    </w:div>
    <w:div w:id="1848867581">
      <w:bodyDiv w:val="1"/>
      <w:marLeft w:val="0"/>
      <w:marRight w:val="0"/>
      <w:marTop w:val="0"/>
      <w:marBottom w:val="0"/>
      <w:divBdr>
        <w:top w:val="none" w:sz="0" w:space="0" w:color="auto"/>
        <w:left w:val="none" w:sz="0" w:space="0" w:color="auto"/>
        <w:bottom w:val="none" w:sz="0" w:space="0" w:color="auto"/>
        <w:right w:val="none" w:sz="0" w:space="0" w:color="auto"/>
      </w:divBdr>
    </w:div>
    <w:div w:id="1852333432">
      <w:bodyDiv w:val="1"/>
      <w:marLeft w:val="0"/>
      <w:marRight w:val="0"/>
      <w:marTop w:val="0"/>
      <w:marBottom w:val="0"/>
      <w:divBdr>
        <w:top w:val="none" w:sz="0" w:space="0" w:color="auto"/>
        <w:left w:val="none" w:sz="0" w:space="0" w:color="auto"/>
        <w:bottom w:val="none" w:sz="0" w:space="0" w:color="auto"/>
        <w:right w:val="none" w:sz="0" w:space="0" w:color="auto"/>
      </w:divBdr>
    </w:div>
    <w:div w:id="1862812509">
      <w:bodyDiv w:val="1"/>
      <w:marLeft w:val="0"/>
      <w:marRight w:val="0"/>
      <w:marTop w:val="0"/>
      <w:marBottom w:val="0"/>
      <w:divBdr>
        <w:top w:val="none" w:sz="0" w:space="0" w:color="auto"/>
        <w:left w:val="none" w:sz="0" w:space="0" w:color="auto"/>
        <w:bottom w:val="none" w:sz="0" w:space="0" w:color="auto"/>
        <w:right w:val="none" w:sz="0" w:space="0" w:color="auto"/>
      </w:divBdr>
    </w:div>
    <w:div w:id="1864204220">
      <w:bodyDiv w:val="1"/>
      <w:marLeft w:val="0"/>
      <w:marRight w:val="0"/>
      <w:marTop w:val="0"/>
      <w:marBottom w:val="0"/>
      <w:divBdr>
        <w:top w:val="none" w:sz="0" w:space="0" w:color="auto"/>
        <w:left w:val="none" w:sz="0" w:space="0" w:color="auto"/>
        <w:bottom w:val="none" w:sz="0" w:space="0" w:color="auto"/>
        <w:right w:val="none" w:sz="0" w:space="0" w:color="auto"/>
      </w:divBdr>
    </w:div>
    <w:div w:id="1912814485">
      <w:bodyDiv w:val="1"/>
      <w:marLeft w:val="0"/>
      <w:marRight w:val="0"/>
      <w:marTop w:val="0"/>
      <w:marBottom w:val="0"/>
      <w:divBdr>
        <w:top w:val="none" w:sz="0" w:space="0" w:color="auto"/>
        <w:left w:val="none" w:sz="0" w:space="0" w:color="auto"/>
        <w:bottom w:val="none" w:sz="0" w:space="0" w:color="auto"/>
        <w:right w:val="none" w:sz="0" w:space="0" w:color="auto"/>
      </w:divBdr>
    </w:div>
    <w:div w:id="1924217442">
      <w:bodyDiv w:val="1"/>
      <w:marLeft w:val="0"/>
      <w:marRight w:val="0"/>
      <w:marTop w:val="0"/>
      <w:marBottom w:val="0"/>
      <w:divBdr>
        <w:top w:val="none" w:sz="0" w:space="0" w:color="auto"/>
        <w:left w:val="none" w:sz="0" w:space="0" w:color="auto"/>
        <w:bottom w:val="none" w:sz="0" w:space="0" w:color="auto"/>
        <w:right w:val="none" w:sz="0" w:space="0" w:color="auto"/>
      </w:divBdr>
    </w:div>
    <w:div w:id="1962346630">
      <w:bodyDiv w:val="1"/>
      <w:marLeft w:val="0"/>
      <w:marRight w:val="0"/>
      <w:marTop w:val="0"/>
      <w:marBottom w:val="0"/>
      <w:divBdr>
        <w:top w:val="none" w:sz="0" w:space="0" w:color="auto"/>
        <w:left w:val="none" w:sz="0" w:space="0" w:color="auto"/>
        <w:bottom w:val="none" w:sz="0" w:space="0" w:color="auto"/>
        <w:right w:val="none" w:sz="0" w:space="0" w:color="auto"/>
      </w:divBdr>
    </w:div>
    <w:div w:id="2001929908">
      <w:bodyDiv w:val="1"/>
      <w:marLeft w:val="0"/>
      <w:marRight w:val="0"/>
      <w:marTop w:val="0"/>
      <w:marBottom w:val="0"/>
      <w:divBdr>
        <w:top w:val="none" w:sz="0" w:space="0" w:color="auto"/>
        <w:left w:val="none" w:sz="0" w:space="0" w:color="auto"/>
        <w:bottom w:val="none" w:sz="0" w:space="0" w:color="auto"/>
        <w:right w:val="none" w:sz="0" w:space="0" w:color="auto"/>
      </w:divBdr>
    </w:div>
    <w:div w:id="2002266954">
      <w:bodyDiv w:val="1"/>
      <w:marLeft w:val="0"/>
      <w:marRight w:val="0"/>
      <w:marTop w:val="0"/>
      <w:marBottom w:val="0"/>
      <w:divBdr>
        <w:top w:val="none" w:sz="0" w:space="0" w:color="auto"/>
        <w:left w:val="none" w:sz="0" w:space="0" w:color="auto"/>
        <w:bottom w:val="none" w:sz="0" w:space="0" w:color="auto"/>
        <w:right w:val="none" w:sz="0" w:space="0" w:color="auto"/>
      </w:divBdr>
    </w:div>
    <w:div w:id="210418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s://narodne-novine.nn.hr/clanci/sluzbeni/2019_01_1_6.html" TargetMode="Externa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2.png"/><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narodne-novine.nn.hr/clanci/sluzbeni/2019_01_1_6.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yperlink" Target="https://narodne-novine.nn.hr/clanci/sluzbeni/2019_01_1_7.html" TargetMode="External"/><Relationship Id="rId28" Type="http://schemas.openxmlformats.org/officeDocument/2006/relationships/fontTable" Target="fontTable.xml"/><Relationship Id="rId10" Type="http://schemas.openxmlformats.org/officeDocument/2006/relationships/image" Target="media/image14.png"/><Relationship Id="rId19" Type="http://schemas.openxmlformats.org/officeDocument/2006/relationships/chart" Target="charts/chart1.xm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customXml" Target="../customXml/item2.xml"/><Relationship Id="rId8"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mfv17\Home\lbegovic\My%20Documents\Godi&#353;nje%20izvje&#353;&#263;e\2021.%20godina\pie%20in%20pi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000">
                <a:solidFill>
                  <a:schemeClr val="tx1">
                    <a:lumMod val="50000"/>
                    <a:lumOff val="50000"/>
                  </a:schemeClr>
                </a:solidFill>
                <a:latin typeface="Times New Roman" panose="02020603050405020304" pitchFamily="18" charset="0"/>
                <a:cs typeface="Times New Roman" panose="02020603050405020304" pitchFamily="18" charset="0"/>
              </a:rPr>
              <a:t>B</a:t>
            </a:r>
            <a:r>
              <a:rPr lang="hr-HR" sz="1000">
                <a:solidFill>
                  <a:schemeClr val="tx1">
                    <a:lumMod val="50000"/>
                    <a:lumOff val="50000"/>
                  </a:schemeClr>
                </a:solidFill>
                <a:latin typeface="Times New Roman" panose="02020603050405020304" pitchFamily="18" charset="0"/>
                <a:cs typeface="Times New Roman" panose="02020603050405020304" pitchFamily="18" charset="0"/>
              </a:rPr>
              <a:t>roj zaprimljenih obavijesti o sumnjivim transakcijama u razdoblju 2017. - 2022.</a:t>
            </a:r>
            <a:endParaRPr lang="en-US" sz="1000">
              <a:solidFill>
                <a:schemeClr val="tx1">
                  <a:lumMod val="50000"/>
                  <a:lumOff val="50000"/>
                </a:schemeClr>
              </a:solidFill>
              <a:latin typeface="Times New Roman" panose="02020603050405020304" pitchFamily="18" charset="0"/>
              <a:cs typeface="Times New Roman" panose="02020603050405020304" pitchFamily="18" charset="0"/>
            </a:endParaRPr>
          </a:p>
        </c:rich>
      </c:tx>
      <c:layout>
        <c:manualLayout>
          <c:xMode val="edge"/>
          <c:yMode val="edge"/>
          <c:x val="1.8193350831146088E-3"/>
          <c:y val="0"/>
        </c:manualLayout>
      </c:layout>
      <c:overlay val="0"/>
      <c:spPr>
        <a:noFill/>
        <a:ln>
          <a:noFill/>
        </a:ln>
        <a:effectLst/>
      </c:spPr>
      <c:txPr>
        <a:bodyPr rot="0" spcFirstLastPara="1" vertOverflow="ellipsis" vert="horz" wrap="square" anchor="ctr" anchorCtr="1"/>
        <a:lstStyle/>
        <a:p>
          <a:pPr algn="l">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title>
    <c:autoTitleDeleted val="0"/>
    <c:plotArea>
      <c:layout/>
      <c:lineChart>
        <c:grouping val="stacked"/>
        <c:varyColors val="0"/>
        <c:ser>
          <c:idx val="0"/>
          <c:order val="0"/>
          <c:spPr>
            <a:ln w="31750" cap="rnd">
              <a:solidFill>
                <a:schemeClr val="accent1"/>
              </a:solidFill>
              <a:round/>
            </a:ln>
            <a:effectLst/>
          </c:spPr>
          <c:marker>
            <c:symbol val="circle"/>
            <c:size val="17"/>
            <c:spPr>
              <a:solidFill>
                <a:schemeClr val="accent1"/>
              </a:solidFill>
              <a:ln>
                <a:noFill/>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376-4095-8518-C191EB825EBA}"/>
                </c:ext>
              </c:extLst>
            </c:dLbl>
            <c:dLbl>
              <c:idx val="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76-4095-8518-C191EB825EBA}"/>
                </c:ext>
              </c:extLst>
            </c:dLbl>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376-4095-8518-C191EB825EBA}"/>
                </c:ext>
              </c:extLst>
            </c:dLbl>
            <c:dLbl>
              <c:idx val="3"/>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376-4095-8518-C191EB825EBA}"/>
                </c:ext>
              </c:extLst>
            </c:dLbl>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376-4095-8518-C191EB825EBA}"/>
                </c:ext>
              </c:extLst>
            </c:dLbl>
            <c:dLbl>
              <c:idx val="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376-4095-8518-C191EB825EB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List3!$B$2:$B$7</c:f>
              <c:strCache>
                <c:ptCount val="6"/>
                <c:pt idx="0">
                  <c:v>2017.</c:v>
                </c:pt>
                <c:pt idx="1">
                  <c:v>2018.</c:v>
                </c:pt>
                <c:pt idx="2">
                  <c:v>2019.</c:v>
                </c:pt>
                <c:pt idx="3">
                  <c:v>2020.</c:v>
                </c:pt>
                <c:pt idx="4">
                  <c:v>2021.</c:v>
                </c:pt>
                <c:pt idx="5">
                  <c:v>2022.</c:v>
                </c:pt>
              </c:strCache>
            </c:strRef>
          </c:cat>
          <c:val>
            <c:numRef>
              <c:f>List3!$C$2:$C$7</c:f>
              <c:numCache>
                <c:formatCode>General</c:formatCode>
                <c:ptCount val="6"/>
                <c:pt idx="0">
                  <c:v>735</c:v>
                </c:pt>
                <c:pt idx="1">
                  <c:v>746</c:v>
                </c:pt>
                <c:pt idx="2">
                  <c:v>923</c:v>
                </c:pt>
                <c:pt idx="3">
                  <c:v>2477</c:v>
                </c:pt>
                <c:pt idx="4">
                  <c:v>3230</c:v>
                </c:pt>
                <c:pt idx="5">
                  <c:v>3241</c:v>
                </c:pt>
              </c:numCache>
            </c:numRef>
          </c:val>
          <c:smooth val="0"/>
          <c:extLst>
            <c:ext xmlns:c16="http://schemas.microsoft.com/office/drawing/2014/chart" uri="{C3380CC4-5D6E-409C-BE32-E72D297353CC}">
              <c16:uniqueId val="{00000006-C376-4095-8518-C191EB825EBA}"/>
            </c:ext>
          </c:extLst>
        </c:ser>
        <c:dLbls>
          <c:dLblPos val="ctr"/>
          <c:showLegendKey val="0"/>
          <c:showVal val="1"/>
          <c:showCatName val="0"/>
          <c:showSerName val="0"/>
          <c:showPercent val="0"/>
          <c:showBubbleSize val="0"/>
        </c:dLbls>
        <c:marker val="1"/>
        <c:smooth val="0"/>
        <c:axId val="413922304"/>
        <c:axId val="413918696"/>
      </c:lineChart>
      <c:catAx>
        <c:axId val="4139223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413918696"/>
        <c:crosses val="autoZero"/>
        <c:auto val="1"/>
        <c:lblAlgn val="ctr"/>
        <c:lblOffset val="100"/>
        <c:noMultiLvlLbl val="0"/>
      </c:catAx>
      <c:valAx>
        <c:axId val="413918696"/>
        <c:scaling>
          <c:orientation val="minMax"/>
        </c:scaling>
        <c:delete val="1"/>
        <c:axPos val="l"/>
        <c:numFmt formatCode="General" sourceLinked="1"/>
        <c:majorTickMark val="none"/>
        <c:minorTickMark val="none"/>
        <c:tickLblPos val="nextTo"/>
        <c:crossAx val="413922304"/>
        <c:crosses val="autoZero"/>
        <c:crossBetween val="between"/>
      </c:val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AZJMDCZ6QSYZ-1849078857-34537</_dlc_DocId>
    <_dlc_DocIdUrl xmlns="a494813a-d0d8-4dad-94cb-0d196f36ba15">
      <Url>https://ekoordinacije.vlada.hr/koordinacija-gospodarstvo/_layouts/15/DocIdRedir.aspx?ID=AZJMDCZ6QSYZ-1849078857-34537</Url>
      <Description>AZJMDCZ6QSYZ-1849078857-34537</Description>
    </_dlc_DocIdUrl>
  </documentManagement>
</p:properties>
</file>

<file path=customXml/itemProps1.xml><?xml version="1.0" encoding="utf-8"?>
<ds:datastoreItem xmlns:ds="http://schemas.openxmlformats.org/officeDocument/2006/customXml" ds:itemID="{615DD92D-5F76-43D3-AA04-22650D3BB5F2}">
  <ds:schemaRefs>
    <ds:schemaRef ds:uri="http://schemas.openxmlformats.org/officeDocument/2006/bibliography"/>
  </ds:schemaRefs>
</ds:datastoreItem>
</file>

<file path=customXml/itemProps2.xml><?xml version="1.0" encoding="utf-8"?>
<ds:datastoreItem xmlns:ds="http://schemas.openxmlformats.org/officeDocument/2006/customXml" ds:itemID="{CA7E2C7D-B29F-43AF-B411-F2FE9112356A}"/>
</file>

<file path=customXml/itemProps3.xml><?xml version="1.0" encoding="utf-8"?>
<ds:datastoreItem xmlns:ds="http://schemas.openxmlformats.org/officeDocument/2006/customXml" ds:itemID="{A1F7D1B9-A3D6-41FD-BBBD-8D29AEB7EA47}"/>
</file>

<file path=customXml/itemProps4.xml><?xml version="1.0" encoding="utf-8"?>
<ds:datastoreItem xmlns:ds="http://schemas.openxmlformats.org/officeDocument/2006/customXml" ds:itemID="{76F49972-D402-49BA-9AF2-679862E00E65}"/>
</file>

<file path=customXml/itemProps5.xml><?xml version="1.0" encoding="utf-8"?>
<ds:datastoreItem xmlns:ds="http://schemas.openxmlformats.org/officeDocument/2006/customXml" ds:itemID="{244D36BF-89EA-44FB-B548-AB30C84F3585}"/>
</file>

<file path=docProps/app.xml><?xml version="1.0" encoding="utf-8"?>
<Properties xmlns="http://schemas.openxmlformats.org/officeDocument/2006/extended-properties" xmlns:vt="http://schemas.openxmlformats.org/officeDocument/2006/docPropsVTypes">
  <Template>Normal.dotm</Template>
  <TotalTime>1</TotalTime>
  <Pages>55</Pages>
  <Words>18655</Words>
  <Characters>106338</Characters>
  <Application>Microsoft Office Word</Application>
  <DocSecurity>0</DocSecurity>
  <Lines>886</Lines>
  <Paragraphs>249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Jukić</dc:creator>
  <cp:keywords/>
  <dc:description/>
  <cp:lastModifiedBy>Lea Klaić</cp:lastModifiedBy>
  <cp:revision>2</cp:revision>
  <cp:lastPrinted>2023-12-12T16:11:00Z</cp:lastPrinted>
  <dcterms:created xsi:type="dcterms:W3CDTF">2023-12-15T08:11:00Z</dcterms:created>
  <dcterms:modified xsi:type="dcterms:W3CDTF">2023-12-15T08:11:00Z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f7d45503-3551-4a77-a5b0-b627ecb850be</vt:lpwstr>
  </property>
</Properties>
</file>